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40960" w14:textId="77777777" w:rsidR="007D7080" w:rsidRPr="00081B4E" w:rsidRDefault="007D7080" w:rsidP="00F377D3">
      <w:pPr>
        <w:ind w:right="-35"/>
        <w:rPr>
          <w:szCs w:val="24"/>
        </w:rPr>
      </w:pPr>
    </w:p>
    <w:p w14:paraId="0AF87F9F" w14:textId="24F68C75" w:rsidR="005B3571" w:rsidRDefault="00585214" w:rsidP="00F47509">
      <w:pPr>
        <w:pStyle w:val="Overskrift1"/>
      </w:pPr>
      <w:r>
        <w:t xml:space="preserve">Kultur- og </w:t>
      </w:r>
      <w:r w:rsidR="003579F2">
        <w:t>likestilling</w:t>
      </w:r>
      <w:r>
        <w:t xml:space="preserve">sdepartementet </w:t>
      </w:r>
    </w:p>
    <w:p w14:paraId="749BA85F" w14:textId="6289D08C" w:rsidR="00585214" w:rsidRPr="00585214" w:rsidRDefault="00585214" w:rsidP="00585214">
      <w:r>
        <w:t xml:space="preserve">Medie- og </w:t>
      </w:r>
      <w:proofErr w:type="spellStart"/>
      <w:r>
        <w:t>kunstavd</w:t>
      </w:r>
      <w:proofErr w:type="spellEnd"/>
      <w:r>
        <w:t>. v / Heidi Karlsen</w:t>
      </w:r>
    </w:p>
    <w:p w14:paraId="7A449EC5" w14:textId="6E6E24DE" w:rsidR="005B3571" w:rsidRPr="00E34C3A" w:rsidRDefault="00585214" w:rsidP="005B3571">
      <w:pPr>
        <w:rPr>
          <w:szCs w:val="24"/>
        </w:rPr>
      </w:pPr>
      <w:r>
        <w:rPr>
          <w:szCs w:val="24"/>
        </w:rPr>
        <w:t>Postboks 8030 Dep</w:t>
      </w:r>
    </w:p>
    <w:p w14:paraId="358BEB9F" w14:textId="63CF0089" w:rsidR="005B3571" w:rsidRPr="00E34C3A" w:rsidRDefault="00585214" w:rsidP="005B3571">
      <w:pPr>
        <w:rPr>
          <w:szCs w:val="24"/>
        </w:rPr>
      </w:pPr>
      <w:r>
        <w:rPr>
          <w:szCs w:val="24"/>
        </w:rPr>
        <w:t>0030 Oslo</w:t>
      </w:r>
    </w:p>
    <w:p w14:paraId="53DAF692" w14:textId="77777777" w:rsidR="007D7080" w:rsidRPr="00E34C3A" w:rsidRDefault="007D7080" w:rsidP="007D7080">
      <w:pPr>
        <w:rPr>
          <w:szCs w:val="24"/>
        </w:rPr>
      </w:pPr>
    </w:p>
    <w:p w14:paraId="123227A4" w14:textId="77777777" w:rsidR="007D7080" w:rsidRPr="00E34C3A" w:rsidRDefault="007D7080" w:rsidP="007D7080">
      <w:pPr>
        <w:rPr>
          <w:szCs w:val="24"/>
        </w:rPr>
      </w:pPr>
    </w:p>
    <w:p w14:paraId="292787EF" w14:textId="77777777" w:rsidR="002D23D6" w:rsidRPr="00E34C3A" w:rsidRDefault="002D23D6" w:rsidP="007D7080">
      <w:pPr>
        <w:rPr>
          <w:szCs w:val="24"/>
        </w:rPr>
      </w:pPr>
    </w:p>
    <w:p w14:paraId="6C96AEFE" w14:textId="77777777" w:rsidR="002D23D6" w:rsidRPr="00E34C3A" w:rsidRDefault="002D23D6" w:rsidP="007D7080">
      <w:pPr>
        <w:rPr>
          <w:szCs w:val="24"/>
        </w:rPr>
      </w:pPr>
    </w:p>
    <w:p w14:paraId="6BC437F0" w14:textId="77777777" w:rsidR="002D23D6" w:rsidRPr="00E34C3A" w:rsidRDefault="002D23D6" w:rsidP="007D7080">
      <w:pPr>
        <w:rPr>
          <w:szCs w:val="24"/>
        </w:rPr>
      </w:pPr>
    </w:p>
    <w:p w14:paraId="61A2E128" w14:textId="77777777" w:rsidR="007D7080" w:rsidRPr="00E34C3A" w:rsidRDefault="007D7080" w:rsidP="007D7080">
      <w:pPr>
        <w:rPr>
          <w:szCs w:val="24"/>
        </w:rPr>
      </w:pPr>
    </w:p>
    <w:p w14:paraId="40A495D2" w14:textId="77777777" w:rsidR="00382A62" w:rsidRPr="00E34C3A" w:rsidRDefault="00382A62" w:rsidP="00382A62">
      <w:pPr>
        <w:ind w:right="0"/>
        <w:rPr>
          <w:sz w:val="18"/>
          <w:szCs w:val="18"/>
        </w:rPr>
      </w:pPr>
    </w:p>
    <w:p w14:paraId="05146E69" w14:textId="77777777" w:rsidR="003E7226" w:rsidRPr="00E34C3A" w:rsidRDefault="003E7226" w:rsidP="00382A62">
      <w:pPr>
        <w:ind w:right="0"/>
        <w:rPr>
          <w:sz w:val="18"/>
          <w:szCs w:val="18"/>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9"/>
        <w:gridCol w:w="3009"/>
        <w:gridCol w:w="3009"/>
      </w:tblGrid>
      <w:tr w:rsidR="00A35283" w14:paraId="6B695322" w14:textId="77777777" w:rsidTr="003E7226">
        <w:tc>
          <w:tcPr>
            <w:tcW w:w="3009" w:type="dxa"/>
          </w:tcPr>
          <w:p w14:paraId="7BDC72CE" w14:textId="77777777" w:rsidR="003E7226" w:rsidRPr="0063221B" w:rsidRDefault="00000000" w:rsidP="00382A62">
            <w:pPr>
              <w:ind w:right="0"/>
              <w:rPr>
                <w:rFonts w:ascii="Times New Roman" w:hAnsi="Times New Roman"/>
                <w:sz w:val="20"/>
                <w:szCs w:val="20"/>
                <w:lang w:val="en-US"/>
              </w:rPr>
            </w:pPr>
            <w:r w:rsidRPr="0063221B">
              <w:rPr>
                <w:rFonts w:ascii="Times New Roman" w:hAnsi="Times New Roman"/>
                <w:sz w:val="20"/>
                <w:szCs w:val="20"/>
                <w:lang w:val="en-US"/>
              </w:rPr>
              <w:t>Vår ref.:</w:t>
            </w:r>
            <w:r w:rsidRPr="0063221B">
              <w:rPr>
                <w:rFonts w:ascii="Times New Roman" w:hAnsi="Times New Roman"/>
                <w:sz w:val="20"/>
                <w:szCs w:val="20"/>
                <w:lang w:val="en-US"/>
              </w:rPr>
              <w:tab/>
            </w:r>
          </w:p>
        </w:tc>
        <w:tc>
          <w:tcPr>
            <w:tcW w:w="3009" w:type="dxa"/>
          </w:tcPr>
          <w:p w14:paraId="532D3FAC" w14:textId="77777777" w:rsidR="003E7226" w:rsidRPr="0063221B" w:rsidRDefault="00000000" w:rsidP="00382A62">
            <w:pPr>
              <w:ind w:right="0"/>
              <w:rPr>
                <w:rFonts w:ascii="Times New Roman" w:hAnsi="Times New Roman"/>
                <w:sz w:val="20"/>
                <w:szCs w:val="20"/>
                <w:lang w:val="en-US"/>
              </w:rPr>
            </w:pPr>
            <w:r w:rsidRPr="0063221B">
              <w:rPr>
                <w:rFonts w:ascii="Times New Roman" w:hAnsi="Times New Roman"/>
                <w:sz w:val="20"/>
                <w:szCs w:val="20"/>
                <w:lang w:val="en-US"/>
              </w:rPr>
              <w:t>Deres ref:</w:t>
            </w:r>
            <w:r w:rsidRPr="0063221B">
              <w:rPr>
                <w:rFonts w:ascii="Times New Roman" w:hAnsi="Times New Roman"/>
                <w:sz w:val="20"/>
                <w:szCs w:val="20"/>
                <w:lang w:val="en-US"/>
              </w:rPr>
              <w:tab/>
            </w:r>
          </w:p>
        </w:tc>
        <w:tc>
          <w:tcPr>
            <w:tcW w:w="3009" w:type="dxa"/>
          </w:tcPr>
          <w:p w14:paraId="09F086A0" w14:textId="77777777" w:rsidR="003E7226" w:rsidRPr="0063221B" w:rsidRDefault="00000000" w:rsidP="00382A62">
            <w:pPr>
              <w:ind w:right="0"/>
              <w:rPr>
                <w:rFonts w:ascii="Times New Roman" w:hAnsi="Times New Roman"/>
                <w:sz w:val="20"/>
                <w:szCs w:val="20"/>
                <w:lang w:val="en-US"/>
              </w:rPr>
            </w:pPr>
            <w:r w:rsidRPr="0063221B">
              <w:rPr>
                <w:rFonts w:ascii="Times New Roman" w:hAnsi="Times New Roman"/>
                <w:sz w:val="20"/>
                <w:szCs w:val="20"/>
                <w:lang w:val="en-US"/>
              </w:rPr>
              <w:t>Sandnes</w:t>
            </w:r>
          </w:p>
        </w:tc>
      </w:tr>
      <w:tr w:rsidR="00A35283" w14:paraId="66BA669E" w14:textId="77777777" w:rsidTr="003E7226">
        <w:tc>
          <w:tcPr>
            <w:tcW w:w="3009" w:type="dxa"/>
          </w:tcPr>
          <w:p w14:paraId="42A7233B" w14:textId="77777777" w:rsidR="003E7226" w:rsidRPr="00E34C3A" w:rsidRDefault="00000000" w:rsidP="00382A62">
            <w:pPr>
              <w:ind w:right="0"/>
              <w:rPr>
                <w:rFonts w:ascii="Times New Roman" w:hAnsi="Times New Roman"/>
                <w:sz w:val="18"/>
                <w:szCs w:val="18"/>
                <w:lang w:val="en-US"/>
              </w:rPr>
            </w:pPr>
            <w:r w:rsidRPr="00E34C3A">
              <w:rPr>
                <w:rFonts w:ascii="Times New Roman" w:hAnsi="Times New Roman"/>
                <w:sz w:val="18"/>
                <w:szCs w:val="18"/>
                <w:lang w:val="en-US"/>
              </w:rPr>
              <w:t>16596/6466</w:t>
            </w:r>
            <w:r w:rsidRPr="00E34C3A">
              <w:rPr>
                <w:rFonts w:ascii="Times New Roman" w:hAnsi="Times New Roman"/>
                <w:sz w:val="18"/>
                <w:szCs w:val="18"/>
                <w:lang w:val="en-US"/>
              </w:rPr>
              <w:tab/>
            </w:r>
          </w:p>
        </w:tc>
        <w:tc>
          <w:tcPr>
            <w:tcW w:w="3009" w:type="dxa"/>
          </w:tcPr>
          <w:p w14:paraId="20FF6D38" w14:textId="77777777" w:rsidR="003E7226" w:rsidRPr="00E34C3A" w:rsidRDefault="003E7226" w:rsidP="00382A62">
            <w:pPr>
              <w:ind w:right="0"/>
              <w:rPr>
                <w:rFonts w:ascii="Times New Roman" w:hAnsi="Times New Roman"/>
                <w:sz w:val="18"/>
                <w:szCs w:val="18"/>
                <w:lang w:val="en-US"/>
              </w:rPr>
            </w:pPr>
          </w:p>
        </w:tc>
        <w:tc>
          <w:tcPr>
            <w:tcW w:w="3009" w:type="dxa"/>
          </w:tcPr>
          <w:p w14:paraId="020DCE92" w14:textId="77777777" w:rsidR="003E7226" w:rsidRPr="00E34C3A" w:rsidRDefault="00000000" w:rsidP="00382A62">
            <w:pPr>
              <w:ind w:right="0"/>
              <w:rPr>
                <w:rFonts w:ascii="Times New Roman" w:hAnsi="Times New Roman"/>
                <w:sz w:val="18"/>
                <w:szCs w:val="18"/>
                <w:lang w:val="en-US"/>
              </w:rPr>
            </w:pPr>
            <w:r w:rsidRPr="00E34C3A">
              <w:rPr>
                <w:rFonts w:ascii="Times New Roman" w:hAnsi="Times New Roman"/>
                <w:sz w:val="18"/>
                <w:szCs w:val="18"/>
                <w:lang w:val="en-US"/>
              </w:rPr>
              <w:t>01.11.2024</w:t>
            </w:r>
          </w:p>
        </w:tc>
      </w:tr>
    </w:tbl>
    <w:p w14:paraId="17FFA25B" w14:textId="77777777" w:rsidR="007D7080" w:rsidRPr="00E34C3A" w:rsidRDefault="00000000" w:rsidP="00382A62">
      <w:pPr>
        <w:ind w:right="0"/>
        <w:rPr>
          <w:sz w:val="18"/>
          <w:szCs w:val="18"/>
          <w:lang w:val="en-US"/>
        </w:rPr>
      </w:pPr>
      <w:r w:rsidRPr="00E34C3A">
        <w:rPr>
          <w:sz w:val="18"/>
          <w:szCs w:val="18"/>
          <w:lang w:val="en-US"/>
        </w:rPr>
        <w:tab/>
      </w:r>
      <w:r w:rsidR="00696DCA" w:rsidRPr="00E34C3A">
        <w:rPr>
          <w:sz w:val="18"/>
          <w:szCs w:val="18"/>
          <w:lang w:val="en-US"/>
        </w:rPr>
        <w:tab/>
      </w:r>
      <w:r w:rsidR="00081B4E" w:rsidRPr="00E34C3A">
        <w:rPr>
          <w:sz w:val="18"/>
          <w:szCs w:val="18"/>
          <w:lang w:val="en-US"/>
        </w:rPr>
        <w:tab/>
      </w:r>
      <w:r w:rsidR="00F47509" w:rsidRPr="00E34C3A">
        <w:rPr>
          <w:sz w:val="18"/>
          <w:szCs w:val="18"/>
          <w:lang w:val="en-US"/>
        </w:rPr>
        <w:tab/>
      </w:r>
      <w:r w:rsidR="00F47509" w:rsidRPr="00E34C3A">
        <w:rPr>
          <w:sz w:val="18"/>
          <w:szCs w:val="18"/>
          <w:lang w:val="en-US"/>
        </w:rPr>
        <w:tab/>
      </w:r>
      <w:r w:rsidR="00F47509" w:rsidRPr="00E34C3A">
        <w:rPr>
          <w:sz w:val="18"/>
          <w:szCs w:val="18"/>
          <w:lang w:val="en-US"/>
        </w:rPr>
        <w:tab/>
      </w:r>
    </w:p>
    <w:p w14:paraId="45043734" w14:textId="77777777" w:rsidR="002D23D6" w:rsidRPr="00E34C3A" w:rsidRDefault="002D23D6" w:rsidP="007D7080">
      <w:pPr>
        <w:rPr>
          <w:rStyle w:val="Firstheading"/>
          <w:rFonts w:ascii="Times New Roman" w:hAnsi="Times New Roman"/>
          <w:b/>
          <w:szCs w:val="24"/>
          <w:lang w:val="en-US"/>
        </w:rPr>
      </w:pPr>
    </w:p>
    <w:p w14:paraId="4DC69DEE" w14:textId="77777777" w:rsidR="00DB25B5" w:rsidRPr="00E34C3A" w:rsidRDefault="00DB25B5" w:rsidP="007D7080">
      <w:pPr>
        <w:rPr>
          <w:rStyle w:val="Firstheading"/>
          <w:rFonts w:ascii="Times New Roman" w:hAnsi="Times New Roman"/>
          <w:b/>
          <w:szCs w:val="24"/>
          <w:lang w:val="en-US"/>
        </w:rPr>
      </w:pPr>
    </w:p>
    <w:p w14:paraId="57A59DB5" w14:textId="27602868" w:rsidR="007D7080" w:rsidRPr="0063221B" w:rsidRDefault="00585214" w:rsidP="007D7080">
      <w:pPr>
        <w:rPr>
          <w:b/>
          <w:sz w:val="26"/>
          <w:szCs w:val="26"/>
        </w:rPr>
      </w:pPr>
      <w:r>
        <w:rPr>
          <w:b/>
          <w:sz w:val="26"/>
          <w:szCs w:val="26"/>
        </w:rPr>
        <w:t>Vedrørende</w:t>
      </w:r>
      <w:r w:rsidR="00EE3AF2">
        <w:rPr>
          <w:b/>
          <w:sz w:val="26"/>
          <w:szCs w:val="26"/>
        </w:rPr>
        <w:t xml:space="preserve"> konsesjonsbrudd på Lokalradioblokka</w:t>
      </w:r>
    </w:p>
    <w:p w14:paraId="07A01853" w14:textId="77777777" w:rsidR="007D7080" w:rsidRPr="00E34C3A" w:rsidRDefault="007D7080" w:rsidP="007D7080">
      <w:pPr>
        <w:rPr>
          <w:szCs w:val="24"/>
        </w:rPr>
      </w:pPr>
    </w:p>
    <w:p w14:paraId="23D1ED63" w14:textId="4E82DDE7" w:rsidR="007D7080" w:rsidRDefault="00EE3AF2" w:rsidP="007D7080">
      <w:pPr>
        <w:rPr>
          <w:szCs w:val="24"/>
        </w:rPr>
      </w:pPr>
      <w:r>
        <w:rPr>
          <w:szCs w:val="24"/>
        </w:rPr>
        <w:t xml:space="preserve">Undertegnede representerer A-Media AS, konsesjonær på Riksblokk II i en sak som gjelder konsesjonsbrudd blant flere konsesjonærer på Lokalradioblokka. </w:t>
      </w:r>
    </w:p>
    <w:p w14:paraId="2E256B31" w14:textId="77777777" w:rsidR="00EE3AF2" w:rsidRDefault="00EE3AF2" w:rsidP="007D7080">
      <w:pPr>
        <w:rPr>
          <w:szCs w:val="24"/>
        </w:rPr>
      </w:pPr>
    </w:p>
    <w:p w14:paraId="1CDA0687" w14:textId="0B326A0F" w:rsidR="00EE3AF2" w:rsidRDefault="00EE3AF2" w:rsidP="007D7080">
      <w:pPr>
        <w:rPr>
          <w:szCs w:val="24"/>
        </w:rPr>
      </w:pPr>
      <w:r>
        <w:rPr>
          <w:szCs w:val="24"/>
        </w:rPr>
        <w:t xml:space="preserve">Saken har vært gjenstand for prosessvarsel mot Medietilsynet og NKOM som tilsynsmyndigheter etter hhv. kringkastingsloven og </w:t>
      </w:r>
      <w:proofErr w:type="spellStart"/>
      <w:r>
        <w:rPr>
          <w:szCs w:val="24"/>
        </w:rPr>
        <w:t>ekom</w:t>
      </w:r>
      <w:proofErr w:type="spellEnd"/>
      <w:r>
        <w:rPr>
          <w:szCs w:val="24"/>
        </w:rPr>
        <w:t xml:space="preserve">-loven. </w:t>
      </w:r>
    </w:p>
    <w:p w14:paraId="4141AFAF" w14:textId="77777777" w:rsidR="00EE3AF2" w:rsidRDefault="00EE3AF2" w:rsidP="007D7080">
      <w:pPr>
        <w:rPr>
          <w:szCs w:val="24"/>
        </w:rPr>
      </w:pPr>
    </w:p>
    <w:p w14:paraId="478CC282" w14:textId="42AB0C82" w:rsidR="007D7080" w:rsidRDefault="00EE3AF2" w:rsidP="007D7080">
      <w:pPr>
        <w:rPr>
          <w:szCs w:val="24"/>
        </w:rPr>
      </w:pPr>
      <w:r>
        <w:rPr>
          <w:szCs w:val="24"/>
        </w:rPr>
        <w:t>I undertegnedes prosessvarsel 13.6.24 og etterfølgende korrespondanse er saken og min klients synspunkter redegjort for. Det vises til denne korrespondansen hva gjelder de konkrete kravene A-Media AS har rettet mot tilsynsmyndighetene, og den nærmere faktiske bakgrunnen for dette. A-Media AS’ krav er konkret angitt som et erstatningskrav mot staten, med bakgrunn i at tilsynsmyndighetene har unnlatt å starte tilsynssak, og at dette medfører</w:t>
      </w:r>
      <w:r w:rsidR="00881B09">
        <w:rPr>
          <w:szCs w:val="24"/>
        </w:rPr>
        <w:t xml:space="preserve"> erstatningsansvar for staten </w:t>
      </w:r>
      <w:proofErr w:type="spellStart"/>
      <w:r w:rsidR="00881B09">
        <w:rPr>
          <w:szCs w:val="24"/>
        </w:rPr>
        <w:t>ihht</w:t>
      </w:r>
      <w:proofErr w:type="spellEnd"/>
      <w:r w:rsidR="00881B09">
        <w:rPr>
          <w:szCs w:val="24"/>
        </w:rPr>
        <w:t xml:space="preserve">. det ulovfestede objektive erstatningsansvaret for uhjemlet myndighetsutøvelse, subsidiært arbeidsgiveransvaret jf. </w:t>
      </w:r>
      <w:proofErr w:type="spellStart"/>
      <w:r w:rsidR="00881B09">
        <w:rPr>
          <w:szCs w:val="24"/>
        </w:rPr>
        <w:t>skl</w:t>
      </w:r>
      <w:proofErr w:type="spellEnd"/>
      <w:r w:rsidR="00881B09">
        <w:rPr>
          <w:szCs w:val="24"/>
        </w:rPr>
        <w:t xml:space="preserve"> § 2-1. </w:t>
      </w:r>
    </w:p>
    <w:p w14:paraId="568EEB1B" w14:textId="77777777" w:rsidR="00881B09" w:rsidRDefault="00881B09" w:rsidP="007D7080">
      <w:pPr>
        <w:rPr>
          <w:szCs w:val="24"/>
        </w:rPr>
      </w:pPr>
    </w:p>
    <w:p w14:paraId="42275887" w14:textId="0EDC6D3C" w:rsidR="00881B09" w:rsidRDefault="00881B09" w:rsidP="007D7080">
      <w:pPr>
        <w:rPr>
          <w:szCs w:val="24"/>
        </w:rPr>
      </w:pPr>
      <w:r>
        <w:rPr>
          <w:szCs w:val="24"/>
        </w:rPr>
        <w:t xml:space="preserve">Korrespondansen vedlegges her til nærmere belysning av dette: </w:t>
      </w:r>
    </w:p>
    <w:p w14:paraId="38A73E55" w14:textId="77777777" w:rsidR="00881B09" w:rsidRDefault="00881B09" w:rsidP="007D7080">
      <w:pPr>
        <w:rPr>
          <w:b/>
          <w:bCs/>
          <w:szCs w:val="24"/>
        </w:rPr>
      </w:pPr>
    </w:p>
    <w:p w14:paraId="65A0C766" w14:textId="3F0B8983" w:rsidR="00881B09" w:rsidRDefault="00881B09" w:rsidP="007D7080">
      <w:pPr>
        <w:rPr>
          <w:szCs w:val="24"/>
        </w:rPr>
      </w:pPr>
      <w:r>
        <w:rPr>
          <w:b/>
          <w:bCs/>
          <w:szCs w:val="24"/>
        </w:rPr>
        <w:t xml:space="preserve">Bilag 1: </w:t>
      </w:r>
      <w:r>
        <w:rPr>
          <w:szCs w:val="24"/>
        </w:rPr>
        <w:t xml:space="preserve">Brev til NKOM og Medietilsynet 13.6.24. </w:t>
      </w:r>
    </w:p>
    <w:p w14:paraId="1AD6D73A" w14:textId="6152C466" w:rsidR="00881B09" w:rsidRDefault="00881B09" w:rsidP="007D7080">
      <w:pPr>
        <w:rPr>
          <w:szCs w:val="24"/>
        </w:rPr>
      </w:pPr>
      <w:r>
        <w:rPr>
          <w:b/>
          <w:bCs/>
          <w:szCs w:val="24"/>
        </w:rPr>
        <w:t xml:space="preserve">Bilag 2: </w:t>
      </w:r>
      <w:r>
        <w:rPr>
          <w:szCs w:val="24"/>
        </w:rPr>
        <w:t xml:space="preserve">Prosessvarsel jf. </w:t>
      </w:r>
      <w:proofErr w:type="spellStart"/>
      <w:r>
        <w:rPr>
          <w:szCs w:val="24"/>
        </w:rPr>
        <w:t>tvl</w:t>
      </w:r>
      <w:proofErr w:type="spellEnd"/>
      <w:r>
        <w:rPr>
          <w:szCs w:val="24"/>
        </w:rPr>
        <w:t xml:space="preserve"> § 5-2 til NKOM og Medietilsynet</w:t>
      </w:r>
      <w:r w:rsidR="003579F2">
        <w:rPr>
          <w:szCs w:val="24"/>
        </w:rPr>
        <w:t xml:space="preserve"> 26.8.24</w:t>
      </w:r>
      <w:r>
        <w:rPr>
          <w:szCs w:val="24"/>
        </w:rPr>
        <w:t xml:space="preserve">. </w:t>
      </w:r>
    </w:p>
    <w:p w14:paraId="7F5D374A" w14:textId="4CCD4B47" w:rsidR="00881B09" w:rsidRDefault="00881B09" w:rsidP="007D7080">
      <w:pPr>
        <w:rPr>
          <w:szCs w:val="24"/>
        </w:rPr>
      </w:pPr>
      <w:r>
        <w:rPr>
          <w:b/>
          <w:bCs/>
          <w:szCs w:val="24"/>
        </w:rPr>
        <w:t xml:space="preserve">Bilag 3: </w:t>
      </w:r>
      <w:r>
        <w:rPr>
          <w:szCs w:val="24"/>
        </w:rPr>
        <w:t xml:space="preserve">Svar på prosessvarsel fra Medietilsynet 13.9.24. </w:t>
      </w:r>
    </w:p>
    <w:p w14:paraId="40BC30AE" w14:textId="6D69A288" w:rsidR="00881B09" w:rsidRDefault="00881B09" w:rsidP="007D7080">
      <w:pPr>
        <w:rPr>
          <w:szCs w:val="24"/>
        </w:rPr>
      </w:pPr>
      <w:r>
        <w:rPr>
          <w:b/>
          <w:bCs/>
          <w:szCs w:val="24"/>
        </w:rPr>
        <w:t xml:space="preserve">Bilag 4: </w:t>
      </w:r>
      <w:r>
        <w:rPr>
          <w:szCs w:val="24"/>
        </w:rPr>
        <w:t xml:space="preserve">E-poster 25.9.24 og 27.9.24 fra A-Media AS v / Egil Martin Solberg til Medietilsynet. </w:t>
      </w:r>
    </w:p>
    <w:p w14:paraId="2A2F6449" w14:textId="4ED9B037" w:rsidR="00881B09" w:rsidRPr="00881B09" w:rsidRDefault="00881B09" w:rsidP="007D7080">
      <w:pPr>
        <w:rPr>
          <w:szCs w:val="24"/>
        </w:rPr>
      </w:pPr>
      <w:r>
        <w:rPr>
          <w:b/>
          <w:bCs/>
          <w:szCs w:val="24"/>
        </w:rPr>
        <w:t xml:space="preserve">Bilag 5: </w:t>
      </w:r>
      <w:r>
        <w:rPr>
          <w:szCs w:val="24"/>
        </w:rPr>
        <w:t xml:space="preserve">E-posttråd 3.10.24 og 15.10.24 mellom Solberg og Medietilsynet v / Erik </w:t>
      </w:r>
      <w:proofErr w:type="spellStart"/>
      <w:r>
        <w:rPr>
          <w:szCs w:val="24"/>
        </w:rPr>
        <w:t>Langebeck</w:t>
      </w:r>
      <w:proofErr w:type="spellEnd"/>
      <w:r>
        <w:rPr>
          <w:szCs w:val="24"/>
        </w:rPr>
        <w:t xml:space="preserve">. </w:t>
      </w:r>
    </w:p>
    <w:p w14:paraId="7E0EE35E" w14:textId="77777777" w:rsidR="007D450A" w:rsidRDefault="007D450A" w:rsidP="007D7080">
      <w:pPr>
        <w:rPr>
          <w:szCs w:val="24"/>
        </w:rPr>
      </w:pPr>
    </w:p>
    <w:p w14:paraId="02F85684" w14:textId="6DD1BACC" w:rsidR="00881B09" w:rsidRDefault="00881B09" w:rsidP="007D7080">
      <w:pPr>
        <w:rPr>
          <w:szCs w:val="24"/>
        </w:rPr>
      </w:pPr>
      <w:r>
        <w:rPr>
          <w:szCs w:val="24"/>
        </w:rPr>
        <w:t xml:space="preserve">I sin e-post 15.10.24 skriver Medietilsynet v / </w:t>
      </w:r>
      <w:proofErr w:type="spellStart"/>
      <w:r>
        <w:rPr>
          <w:szCs w:val="24"/>
        </w:rPr>
        <w:t>Langebeck</w:t>
      </w:r>
      <w:proofErr w:type="spellEnd"/>
      <w:r>
        <w:rPr>
          <w:szCs w:val="24"/>
        </w:rPr>
        <w:t xml:space="preserve">: «Vi gjør oppmerksom på at Medietilsynet kun forvalter støtteordningen for lokale lyd og bildemedier etter </w:t>
      </w:r>
      <w:r>
        <w:rPr>
          <w:szCs w:val="24"/>
        </w:rPr>
        <w:lastRenderedPageBreak/>
        <w:t>gjeldende forskrift. A-Medias innspill til støtteordningens innretning er i stor grad et politisk spørsmål som bør rettes til Kultur- og likestillingsdepartementet.»</w:t>
      </w:r>
    </w:p>
    <w:p w14:paraId="5BEFCB0F" w14:textId="77777777" w:rsidR="00881B09" w:rsidRDefault="00881B09" w:rsidP="007D7080">
      <w:pPr>
        <w:rPr>
          <w:szCs w:val="24"/>
        </w:rPr>
      </w:pPr>
    </w:p>
    <w:p w14:paraId="64470FB4" w14:textId="5D8EA32E" w:rsidR="003579F2" w:rsidRDefault="008448A4" w:rsidP="007D7080">
      <w:pPr>
        <w:rPr>
          <w:szCs w:val="24"/>
        </w:rPr>
      </w:pPr>
      <w:r>
        <w:rPr>
          <w:szCs w:val="24"/>
        </w:rPr>
        <w:t>I forlengelsen av aktuelle utsagn løftes nå denne saken med dette brev</w:t>
      </w:r>
      <w:r w:rsidR="003579F2">
        <w:rPr>
          <w:szCs w:val="24"/>
        </w:rPr>
        <w:t xml:space="preserve"> </w:t>
      </w:r>
      <w:r>
        <w:rPr>
          <w:szCs w:val="24"/>
        </w:rPr>
        <w:t>til Kultur- og likestillingsdepartementet</w:t>
      </w:r>
      <w:r w:rsidR="003579F2">
        <w:rPr>
          <w:szCs w:val="24"/>
        </w:rPr>
        <w:t xml:space="preserve">. På vegne av A-Media AS bes det om et møte med departementet, der temaet </w:t>
      </w:r>
      <w:r w:rsidR="00F441E2">
        <w:rPr>
          <w:szCs w:val="24"/>
        </w:rPr>
        <w:t xml:space="preserve">først og fremst </w:t>
      </w:r>
      <w:r w:rsidR="003579F2">
        <w:rPr>
          <w:szCs w:val="24"/>
        </w:rPr>
        <w:t xml:space="preserve">vil være den saken som beskrives i bilagene 1-5. </w:t>
      </w:r>
    </w:p>
    <w:p w14:paraId="56BE0A26" w14:textId="77777777" w:rsidR="003579F2" w:rsidRDefault="003579F2" w:rsidP="007D7080">
      <w:pPr>
        <w:rPr>
          <w:szCs w:val="24"/>
        </w:rPr>
      </w:pPr>
    </w:p>
    <w:p w14:paraId="0F24AFBD" w14:textId="735AA350" w:rsidR="003579F2" w:rsidRDefault="003579F2" w:rsidP="007D7080">
      <w:pPr>
        <w:rPr>
          <w:szCs w:val="24"/>
        </w:rPr>
      </w:pPr>
      <w:r>
        <w:rPr>
          <w:szCs w:val="24"/>
        </w:rPr>
        <w:t xml:space="preserve">I tillegg til dette har A-Media AS en rekke bekymringer knyttet til tilsynsmyndighetenes tilnærming hva gjelder en rekke andre spørsmål som man tidligere har tatt opp med de rette vedkommende i aktuelle tilsynsorganer. Konkrete spørsmål som ønskes drøftet i et møte er beskrevet under punktene 1 og 2 under. </w:t>
      </w:r>
    </w:p>
    <w:p w14:paraId="5D56B766" w14:textId="2F424E46" w:rsidR="003579F2" w:rsidRDefault="003579F2" w:rsidP="003579F2">
      <w:pPr>
        <w:rPr>
          <w:szCs w:val="24"/>
        </w:rPr>
      </w:pPr>
    </w:p>
    <w:p w14:paraId="28F91423" w14:textId="48680B24" w:rsidR="003579F2" w:rsidRDefault="003579F2" w:rsidP="003579F2">
      <w:pPr>
        <w:rPr>
          <w:b/>
          <w:bCs/>
          <w:szCs w:val="24"/>
        </w:rPr>
      </w:pPr>
      <w:r w:rsidRPr="003579F2">
        <w:rPr>
          <w:b/>
          <w:bCs/>
          <w:szCs w:val="24"/>
        </w:rPr>
        <w:t>1.</w:t>
      </w:r>
      <w:r>
        <w:rPr>
          <w:b/>
          <w:bCs/>
          <w:szCs w:val="24"/>
        </w:rPr>
        <w:t xml:space="preserve"> Når det gjelder saken knyttet til konsesjonsbrudd, jf. bilagene 1-5: A-Media AS påføres et fortløpende økonomisk tap som følge av konsesjonsbrudd hos konsesjonshaverne på lokalradioblokka, uten at tilsynsmyndighetene griper inn</w:t>
      </w:r>
    </w:p>
    <w:p w14:paraId="4C599DE1" w14:textId="5E237E5E" w:rsidR="003579F2" w:rsidRDefault="003579F2" w:rsidP="003579F2">
      <w:pPr>
        <w:rPr>
          <w:szCs w:val="24"/>
        </w:rPr>
      </w:pPr>
      <w:r>
        <w:rPr>
          <w:szCs w:val="24"/>
        </w:rPr>
        <w:t xml:space="preserve">Som også beskrevet i undertegnedes brev 26.8.24, </w:t>
      </w:r>
      <w:r>
        <w:rPr>
          <w:b/>
          <w:bCs/>
          <w:szCs w:val="24"/>
        </w:rPr>
        <w:t xml:space="preserve">bilag 2 </w:t>
      </w:r>
      <w:r>
        <w:rPr>
          <w:szCs w:val="24"/>
        </w:rPr>
        <w:t xml:space="preserve">s. 6, har A-Media AS tilegnet seg anleggskonsesjon på Riksblokk II gjennom auksjon, slik at </w:t>
      </w:r>
      <w:proofErr w:type="spellStart"/>
      <w:r>
        <w:rPr>
          <w:szCs w:val="24"/>
        </w:rPr>
        <w:t>at</w:t>
      </w:r>
      <w:proofErr w:type="spellEnd"/>
      <w:r>
        <w:rPr>
          <w:szCs w:val="24"/>
        </w:rPr>
        <w:t xml:space="preserve"> A-Media AS har betalt staten kr. 2 870 000,-. Videre har utbyggingen av Riksblokk II blitt gjort gjennom betydelige investeringer fra A-Media AS’ side. Utbyggingen av Riksblokk II er, i direkte motsetning til utbyggingen av de 37 forskjellige regionene på lokalradioblokka, </w:t>
      </w:r>
      <w:r>
        <w:rPr>
          <w:i/>
          <w:iCs/>
          <w:szCs w:val="24"/>
        </w:rPr>
        <w:t xml:space="preserve">ikke </w:t>
      </w:r>
      <w:r>
        <w:rPr>
          <w:szCs w:val="24"/>
        </w:rPr>
        <w:t xml:space="preserve">statsstøtteberettiget. </w:t>
      </w:r>
    </w:p>
    <w:p w14:paraId="13090035" w14:textId="77777777" w:rsidR="003579F2" w:rsidRDefault="003579F2" w:rsidP="003579F2">
      <w:pPr>
        <w:rPr>
          <w:szCs w:val="24"/>
        </w:rPr>
      </w:pPr>
    </w:p>
    <w:p w14:paraId="190BABDE" w14:textId="796D8C3E" w:rsidR="003579F2" w:rsidRDefault="003579F2" w:rsidP="003579F2">
      <w:pPr>
        <w:rPr>
          <w:szCs w:val="24"/>
        </w:rPr>
      </w:pPr>
      <w:r>
        <w:rPr>
          <w:szCs w:val="24"/>
        </w:rPr>
        <w:t xml:space="preserve">A-Media AS har gjort disse investeringene med den faste overbevisning om at man som konsesjonær på Riksblokk II ikke skal måtte tåle direkte konkurranse fra lokalradioblokkene på regionnivå eller nasjonalt nivå. </w:t>
      </w:r>
    </w:p>
    <w:p w14:paraId="6BD0686C" w14:textId="77777777" w:rsidR="003579F2" w:rsidRDefault="003579F2" w:rsidP="003579F2">
      <w:pPr>
        <w:rPr>
          <w:szCs w:val="24"/>
        </w:rPr>
      </w:pPr>
    </w:p>
    <w:p w14:paraId="62E7EEC8" w14:textId="5B6B565C" w:rsidR="003579F2" w:rsidRDefault="003579F2" w:rsidP="003579F2">
      <w:pPr>
        <w:rPr>
          <w:szCs w:val="24"/>
        </w:rPr>
      </w:pPr>
      <w:r>
        <w:rPr>
          <w:szCs w:val="24"/>
        </w:rPr>
        <w:t xml:space="preserve">Som det fremgår av </w:t>
      </w:r>
      <w:r w:rsidRPr="003579F2">
        <w:rPr>
          <w:b/>
          <w:bCs/>
          <w:szCs w:val="24"/>
        </w:rPr>
        <w:t>bilagene 1</w:t>
      </w:r>
      <w:r>
        <w:rPr>
          <w:szCs w:val="24"/>
        </w:rPr>
        <w:t xml:space="preserve"> og </w:t>
      </w:r>
      <w:r w:rsidRPr="003579F2">
        <w:rPr>
          <w:b/>
          <w:bCs/>
          <w:szCs w:val="24"/>
        </w:rPr>
        <w:t>2</w:t>
      </w:r>
      <w:r>
        <w:rPr>
          <w:b/>
          <w:bCs/>
          <w:szCs w:val="24"/>
        </w:rPr>
        <w:t xml:space="preserve">, </w:t>
      </w:r>
      <w:r>
        <w:rPr>
          <w:szCs w:val="24"/>
        </w:rPr>
        <w:t xml:space="preserve">er flere av de statsstøttefinansierte lokalradioblokkene i områder av landet med høy befolkningstetthet, slått sammen til større regionale nett, og disse går dermed i direkte konkurranse med Riksblokk II, stikk i strid med intensjonen bak å opprette to Riksblokk-konsesjoner, og 37 forskjellige lokalradioblokker. </w:t>
      </w:r>
    </w:p>
    <w:p w14:paraId="1AC875D6" w14:textId="77777777" w:rsidR="003579F2" w:rsidRDefault="003579F2" w:rsidP="003579F2">
      <w:pPr>
        <w:rPr>
          <w:szCs w:val="24"/>
        </w:rPr>
      </w:pPr>
    </w:p>
    <w:p w14:paraId="44DCBD96" w14:textId="3C3A86C9" w:rsidR="003579F2" w:rsidRDefault="003579F2" w:rsidP="003579F2">
      <w:pPr>
        <w:rPr>
          <w:szCs w:val="24"/>
        </w:rPr>
      </w:pPr>
      <w:r>
        <w:rPr>
          <w:szCs w:val="24"/>
        </w:rPr>
        <w:t xml:space="preserve">Dette er en uholdbar situasjon for A-Media AS, og det oppfattes slik at denne direkte konkurransen fra aktuelle lokalradioregioner påfører A-Media AS et økonomisk tap med anslagsvis kr. 2 000 000,- årlig i tapte leieinntekter. </w:t>
      </w:r>
    </w:p>
    <w:p w14:paraId="53CB93F9" w14:textId="77777777" w:rsidR="003579F2" w:rsidRDefault="003579F2" w:rsidP="003579F2">
      <w:pPr>
        <w:rPr>
          <w:szCs w:val="24"/>
        </w:rPr>
      </w:pPr>
    </w:p>
    <w:p w14:paraId="31CE2393" w14:textId="32530A95" w:rsidR="003579F2" w:rsidRDefault="003579F2" w:rsidP="003579F2">
      <w:pPr>
        <w:rPr>
          <w:szCs w:val="24"/>
        </w:rPr>
      </w:pPr>
      <w:r>
        <w:rPr>
          <w:szCs w:val="24"/>
        </w:rPr>
        <w:t xml:space="preserve">Etter A-Media AS’ oppfatning må den direkte og helt utilsiktede konkurransen med lokalradioblokka medføre at man </w:t>
      </w:r>
      <w:r>
        <w:rPr>
          <w:i/>
          <w:iCs/>
          <w:szCs w:val="24"/>
        </w:rPr>
        <w:t xml:space="preserve">enten </w:t>
      </w:r>
      <w:r>
        <w:rPr>
          <w:szCs w:val="24"/>
        </w:rPr>
        <w:t xml:space="preserve">må pålegge aktuelle konsesjonærer å gjenopprette de 37 lokalradioregionene uten at man tillater at disse slås sammen til regionale nett etter konsesjonærenes forgodtbefinnende. Alternativt må man gjøre om på adgangen for Riksblokk II til å søke statsstøtte til utbygging av DAB-nettet, og innrømme A-Media AS rett til å få etterbevilget statsstøtte for all utbygging av Riksblokk II fra og med tildeling av konsesjonen til A-Media AS og frem til i dag. </w:t>
      </w:r>
    </w:p>
    <w:p w14:paraId="77368606" w14:textId="77777777" w:rsidR="003579F2" w:rsidRDefault="003579F2" w:rsidP="003579F2">
      <w:pPr>
        <w:rPr>
          <w:szCs w:val="24"/>
        </w:rPr>
      </w:pPr>
    </w:p>
    <w:p w14:paraId="55DFA365" w14:textId="7FF44206" w:rsidR="003579F2" w:rsidRDefault="003579F2" w:rsidP="003579F2">
      <w:pPr>
        <w:rPr>
          <w:szCs w:val="24"/>
        </w:rPr>
      </w:pPr>
      <w:r>
        <w:rPr>
          <w:szCs w:val="24"/>
        </w:rPr>
        <w:lastRenderedPageBreak/>
        <w:t xml:space="preserve">Dette for det tilfelle at A-Media AS ikke skal høres med sitt prinsipale standpunkt, som er at sammenslåingen av regioner på Lokalradioblokka er rettsstridig, og at unnlatt tilsyn fra Medietilsynet og NKOM sin side er å oppfatte som erstatningsbetingende forhold for staten, alternativt at det er rettstridig å tilstå anleggskonsesjonærene på Lokalradioblokka statsstøtte for utbygging, samtidig som man nekter konsesjonæren på Riksblokk II tilsvarende statsstøtte. </w:t>
      </w:r>
    </w:p>
    <w:p w14:paraId="0985D913" w14:textId="77777777" w:rsidR="003579F2" w:rsidRDefault="003579F2" w:rsidP="003579F2">
      <w:pPr>
        <w:rPr>
          <w:szCs w:val="24"/>
        </w:rPr>
      </w:pPr>
    </w:p>
    <w:p w14:paraId="7287A461" w14:textId="2C6658CD" w:rsidR="003579F2" w:rsidRDefault="003579F2" w:rsidP="003579F2">
      <w:pPr>
        <w:rPr>
          <w:szCs w:val="24"/>
        </w:rPr>
      </w:pPr>
      <w:r>
        <w:rPr>
          <w:szCs w:val="24"/>
        </w:rPr>
        <w:t xml:space="preserve">Så nevnes det også i denne sammenheng at sammenslåingen av Lokalradioblokkene som er omtalt i </w:t>
      </w:r>
      <w:r>
        <w:rPr>
          <w:b/>
          <w:bCs/>
          <w:szCs w:val="24"/>
        </w:rPr>
        <w:t xml:space="preserve">bilag 1 og 2 </w:t>
      </w:r>
      <w:r>
        <w:rPr>
          <w:szCs w:val="24"/>
        </w:rPr>
        <w:t xml:space="preserve">rammer de små lokalradiostasjonene. Inndelingen av lokalradioblokka i 37 regioner var fra myndighetenes side ment å verne om nettopp disse aktørene, samt å opprettholde mediemangfoldet i Norge. Det minnes i denne </w:t>
      </w:r>
      <w:proofErr w:type="spellStart"/>
      <w:r>
        <w:rPr>
          <w:szCs w:val="24"/>
        </w:rPr>
        <w:t>sammnheng</w:t>
      </w:r>
      <w:proofErr w:type="spellEnd"/>
      <w:r>
        <w:rPr>
          <w:szCs w:val="24"/>
        </w:rPr>
        <w:t xml:space="preserve"> om at man tidligere, på FM-nettet, hadde betydelig flere lokalradioregioner enn 37. Større lokalradioregioner medfører høyere kostnader til transmisjonsavtaler på hver enkelt radiostasjon, og et større antall </w:t>
      </w:r>
      <w:r>
        <w:rPr>
          <w:i/>
          <w:iCs/>
          <w:szCs w:val="24"/>
        </w:rPr>
        <w:t xml:space="preserve">potensielle </w:t>
      </w:r>
      <w:r>
        <w:rPr>
          <w:szCs w:val="24"/>
        </w:rPr>
        <w:t xml:space="preserve">lyttere fører til en høyere avgift til TONO, noe som samlet sett fører til et uholdbart høyt kostnadsnivå for lokalradioene, som av naturlige grunner ikke har et høyt inntektsnivå eller profesjonelt preg hva gjelder driften. </w:t>
      </w:r>
    </w:p>
    <w:p w14:paraId="01EC7EC5" w14:textId="77777777" w:rsidR="003579F2" w:rsidRDefault="003579F2" w:rsidP="003579F2">
      <w:pPr>
        <w:rPr>
          <w:szCs w:val="24"/>
        </w:rPr>
      </w:pPr>
    </w:p>
    <w:p w14:paraId="3B320CCA" w14:textId="35EFDAB3" w:rsidR="003579F2" w:rsidRDefault="003579F2" w:rsidP="003579F2">
      <w:pPr>
        <w:rPr>
          <w:b/>
          <w:bCs/>
          <w:szCs w:val="24"/>
        </w:rPr>
      </w:pPr>
      <w:r>
        <w:rPr>
          <w:b/>
          <w:bCs/>
          <w:szCs w:val="24"/>
        </w:rPr>
        <w:t>2. Øvrige forhold NKOM og Medietilsynet har unnlatt å føre tilsyn med i tilknytning til Lokalradioblokka og utbyggingen av denne</w:t>
      </w:r>
    </w:p>
    <w:p w14:paraId="6D6CB2F3" w14:textId="1623EF58" w:rsidR="003579F2" w:rsidRDefault="003579F2" w:rsidP="003579F2">
      <w:pPr>
        <w:rPr>
          <w:szCs w:val="24"/>
        </w:rPr>
      </w:pPr>
      <w:r>
        <w:rPr>
          <w:szCs w:val="24"/>
        </w:rPr>
        <w:t xml:space="preserve">Utover den saken som er tema for korrespondanse mellom undertegnede, NKOM og Medietilsynet i </w:t>
      </w:r>
      <w:r>
        <w:rPr>
          <w:b/>
          <w:bCs/>
          <w:szCs w:val="24"/>
        </w:rPr>
        <w:t>bilagene 1-5</w:t>
      </w:r>
      <w:r>
        <w:rPr>
          <w:szCs w:val="24"/>
        </w:rPr>
        <w:t xml:space="preserve">, er A-Media AS bekymret for flere andre saker som burde vært gjenstand for tilsyn. </w:t>
      </w:r>
    </w:p>
    <w:p w14:paraId="05992853" w14:textId="77777777" w:rsidR="003579F2" w:rsidRDefault="003579F2" w:rsidP="003579F2">
      <w:pPr>
        <w:rPr>
          <w:szCs w:val="24"/>
        </w:rPr>
      </w:pPr>
    </w:p>
    <w:p w14:paraId="7C63E6A0" w14:textId="2542F428" w:rsidR="003579F2" w:rsidRDefault="003579F2" w:rsidP="003579F2">
      <w:pPr>
        <w:rPr>
          <w:szCs w:val="24"/>
        </w:rPr>
      </w:pPr>
      <w:r>
        <w:rPr>
          <w:szCs w:val="24"/>
        </w:rPr>
        <w:t xml:space="preserve">For det første nevnes det at en rekke av de DAB-anleggene som det er gitt støtte til, aldri er utbygget. Mange anlegg er bygget på eldre sendere man har fått kostnadsfritt fra </w:t>
      </w:r>
      <w:proofErr w:type="spellStart"/>
      <w:r>
        <w:rPr>
          <w:szCs w:val="24"/>
        </w:rPr>
        <w:t>Norkring</w:t>
      </w:r>
      <w:proofErr w:type="spellEnd"/>
      <w:r>
        <w:rPr>
          <w:szCs w:val="24"/>
        </w:rPr>
        <w:t xml:space="preserve">, uten at man har kjøpt inn nytt utstyr. Like fullt har aktuelle konsesjonshavere på Lokalradioblokka hevet statsstøtte på de premisser at nye DAB-sendere skal etableres. Fremgangsmåten har som konsekvens at DAB-nettene får dårlig kvalitet, og kort levetid, til skade for lytterne og de lokalradiokanalene som ønsker å kringkaste på aktuelle nett, ved siden av det klare poeng at statsstøtte gis på sviktende grunnlag. </w:t>
      </w:r>
    </w:p>
    <w:p w14:paraId="779F66DB" w14:textId="77777777" w:rsidR="003579F2" w:rsidRDefault="003579F2" w:rsidP="003579F2">
      <w:pPr>
        <w:rPr>
          <w:szCs w:val="24"/>
        </w:rPr>
      </w:pPr>
    </w:p>
    <w:p w14:paraId="79812DA8" w14:textId="63AA2313" w:rsidR="003579F2" w:rsidRDefault="003579F2" w:rsidP="003579F2">
      <w:pPr>
        <w:rPr>
          <w:szCs w:val="24"/>
        </w:rPr>
      </w:pPr>
      <w:r>
        <w:rPr>
          <w:szCs w:val="24"/>
        </w:rPr>
        <w:t xml:space="preserve">A-Media AS er også av den oppfatning at man i et enkelttilfelle der fotballklubben FK Haugesund fikk konsesjon som </w:t>
      </w:r>
      <w:proofErr w:type="spellStart"/>
      <w:r>
        <w:rPr>
          <w:szCs w:val="24"/>
        </w:rPr>
        <w:t>anleggskonsesjonær</w:t>
      </w:r>
      <w:proofErr w:type="spellEnd"/>
      <w:r>
        <w:rPr>
          <w:szCs w:val="24"/>
        </w:rPr>
        <w:t xml:space="preserve"> på lokalradioblokka, søkte statsstøtte til utbygging, mens Haugaland Kraft bekostet utbygging av 4 sendere. </w:t>
      </w:r>
    </w:p>
    <w:p w14:paraId="42A64242" w14:textId="77777777" w:rsidR="003579F2" w:rsidRDefault="003579F2" w:rsidP="003579F2">
      <w:pPr>
        <w:rPr>
          <w:szCs w:val="24"/>
        </w:rPr>
      </w:pPr>
    </w:p>
    <w:p w14:paraId="20F4DECD" w14:textId="0071D8CF" w:rsidR="003579F2" w:rsidRDefault="003579F2" w:rsidP="003579F2">
      <w:pPr>
        <w:rPr>
          <w:szCs w:val="24"/>
        </w:rPr>
      </w:pPr>
      <w:proofErr w:type="spellStart"/>
      <w:r>
        <w:rPr>
          <w:szCs w:val="24"/>
        </w:rPr>
        <w:t>Stattsstøtten</w:t>
      </w:r>
      <w:proofErr w:type="spellEnd"/>
      <w:r>
        <w:rPr>
          <w:szCs w:val="24"/>
        </w:rPr>
        <w:t xml:space="preserve"> til FK Haugesund i denne sammenhengen ble gitt som de </w:t>
      </w:r>
      <w:proofErr w:type="spellStart"/>
      <w:r>
        <w:rPr>
          <w:szCs w:val="24"/>
        </w:rPr>
        <w:t>minimis</w:t>
      </w:r>
      <w:proofErr w:type="spellEnd"/>
      <w:r>
        <w:rPr>
          <w:szCs w:val="24"/>
        </w:rPr>
        <w:t xml:space="preserve">-støtte, og når taket for de </w:t>
      </w:r>
      <w:proofErr w:type="spellStart"/>
      <w:r>
        <w:rPr>
          <w:szCs w:val="24"/>
        </w:rPr>
        <w:t>minimis</w:t>
      </w:r>
      <w:proofErr w:type="spellEnd"/>
      <w:r>
        <w:rPr>
          <w:szCs w:val="24"/>
        </w:rPr>
        <w:t xml:space="preserve">-støtte bli nådd for FK Haugesunds del, ble konsesjonen overført til Haugaland Kraft, som i fortsettelsen søkte </w:t>
      </w:r>
      <w:proofErr w:type="spellStart"/>
      <w:r>
        <w:rPr>
          <w:szCs w:val="24"/>
        </w:rPr>
        <w:t>stattsstøtte</w:t>
      </w:r>
      <w:proofErr w:type="spellEnd"/>
      <w:r>
        <w:rPr>
          <w:szCs w:val="24"/>
        </w:rPr>
        <w:t xml:space="preserve"> til utbygging av samme region på lokalradioblokka. Dette ble innvilget, men etter det A-Media AS har forstått har ikke denne statsstøtten ført til at det har blitt bygget ut noen flere sendere på aktuelle lokalradioregion. </w:t>
      </w:r>
    </w:p>
    <w:p w14:paraId="2A0F4E7B" w14:textId="18142ECB" w:rsidR="003579F2" w:rsidRDefault="003579F2" w:rsidP="003579F2">
      <w:pPr>
        <w:rPr>
          <w:szCs w:val="24"/>
        </w:rPr>
      </w:pPr>
    </w:p>
    <w:p w14:paraId="01F0C8D2" w14:textId="557B929C" w:rsidR="003579F2" w:rsidRDefault="003579F2" w:rsidP="003579F2">
      <w:pPr>
        <w:rPr>
          <w:szCs w:val="24"/>
        </w:rPr>
      </w:pPr>
      <w:r>
        <w:rPr>
          <w:szCs w:val="24"/>
        </w:rPr>
        <w:t xml:space="preserve">Disse forholdene er nærmere beskrevet og forklart i en tidligere bekymringsmelding fra A-Media AS til Medietilsynet og Kultur- og likestillingsdepartementet. </w:t>
      </w:r>
    </w:p>
    <w:p w14:paraId="22CB7830" w14:textId="77777777" w:rsidR="003579F2" w:rsidRDefault="003579F2" w:rsidP="003579F2">
      <w:pPr>
        <w:rPr>
          <w:szCs w:val="24"/>
        </w:rPr>
      </w:pPr>
    </w:p>
    <w:p w14:paraId="7BB3FF77" w14:textId="1C1FD679" w:rsidR="003579F2" w:rsidRDefault="003579F2" w:rsidP="003579F2">
      <w:pPr>
        <w:rPr>
          <w:szCs w:val="24"/>
        </w:rPr>
      </w:pPr>
      <w:r>
        <w:rPr>
          <w:b/>
          <w:bCs/>
          <w:szCs w:val="24"/>
        </w:rPr>
        <w:t xml:space="preserve">Bilag 6: </w:t>
      </w:r>
      <w:r>
        <w:rPr>
          <w:szCs w:val="24"/>
        </w:rPr>
        <w:t xml:space="preserve">Bekymringsmelding 5.10.22 til Medietilsynet og Kultur- og </w:t>
      </w:r>
      <w:proofErr w:type="spellStart"/>
      <w:r>
        <w:rPr>
          <w:szCs w:val="24"/>
        </w:rPr>
        <w:t>likestillingsdep</w:t>
      </w:r>
      <w:proofErr w:type="spellEnd"/>
      <w:r>
        <w:rPr>
          <w:szCs w:val="24"/>
        </w:rPr>
        <w:t xml:space="preserve">. </w:t>
      </w:r>
    </w:p>
    <w:p w14:paraId="4CA6300F" w14:textId="77777777" w:rsidR="003579F2" w:rsidRDefault="003579F2" w:rsidP="003579F2">
      <w:pPr>
        <w:rPr>
          <w:szCs w:val="24"/>
        </w:rPr>
      </w:pPr>
    </w:p>
    <w:p w14:paraId="53F99B49" w14:textId="40D7DD57" w:rsidR="003579F2" w:rsidRDefault="003579F2" w:rsidP="003579F2">
      <w:pPr>
        <w:rPr>
          <w:szCs w:val="24"/>
        </w:rPr>
      </w:pPr>
      <w:r>
        <w:rPr>
          <w:szCs w:val="24"/>
        </w:rPr>
        <w:t xml:space="preserve">Avslutningsvis gjør A-Media AS oppmerksom på at anleggskonsesjonærene på Lokalradioblokka gjennomgående, og etter det A-Media AS erfarer, ikke har </w:t>
      </w:r>
      <w:proofErr w:type="spellStart"/>
      <w:r>
        <w:rPr>
          <w:szCs w:val="24"/>
        </w:rPr>
        <w:t>ekomnettautorisasjon</w:t>
      </w:r>
      <w:proofErr w:type="spellEnd"/>
      <w:r>
        <w:rPr>
          <w:szCs w:val="24"/>
        </w:rPr>
        <w:t xml:space="preserve">, på tross av at dette er lovpålagt. Også her har tilsynsmyndighetene for Lokalradioblokka etter A-Media AS’ syn sviktet. </w:t>
      </w:r>
    </w:p>
    <w:p w14:paraId="7489B258" w14:textId="77777777" w:rsidR="003579F2" w:rsidRDefault="003579F2" w:rsidP="003579F2">
      <w:pPr>
        <w:rPr>
          <w:szCs w:val="24"/>
        </w:rPr>
      </w:pPr>
    </w:p>
    <w:p w14:paraId="4B4F31FA" w14:textId="5E07A4DD" w:rsidR="003579F2" w:rsidRDefault="003579F2" w:rsidP="003579F2">
      <w:pPr>
        <w:rPr>
          <w:b/>
          <w:bCs/>
          <w:szCs w:val="24"/>
        </w:rPr>
      </w:pPr>
      <w:r>
        <w:rPr>
          <w:b/>
          <w:bCs/>
          <w:szCs w:val="24"/>
        </w:rPr>
        <w:t>3. Avslutning</w:t>
      </w:r>
    </w:p>
    <w:p w14:paraId="253A902C" w14:textId="2ADFE57A" w:rsidR="003579F2" w:rsidRDefault="00E80B8D" w:rsidP="003579F2">
      <w:pPr>
        <w:rPr>
          <w:szCs w:val="24"/>
        </w:rPr>
      </w:pPr>
      <w:r>
        <w:rPr>
          <w:szCs w:val="24"/>
        </w:rPr>
        <w:t xml:space="preserve">A-Media AS oppfatter status </w:t>
      </w:r>
      <w:proofErr w:type="spellStart"/>
      <w:r>
        <w:rPr>
          <w:szCs w:val="24"/>
        </w:rPr>
        <w:t>quo</w:t>
      </w:r>
      <w:proofErr w:type="spellEnd"/>
      <w:r>
        <w:rPr>
          <w:szCs w:val="24"/>
        </w:rPr>
        <w:t xml:space="preserve"> hva gjelder saken beskrevet i bilagene 1-5 i dette brev som helt uholdbar og klart rettsstridig. </w:t>
      </w:r>
    </w:p>
    <w:p w14:paraId="651C1FA2" w14:textId="77777777" w:rsidR="00E80B8D" w:rsidRDefault="00E80B8D" w:rsidP="003579F2">
      <w:pPr>
        <w:rPr>
          <w:szCs w:val="24"/>
        </w:rPr>
      </w:pPr>
    </w:p>
    <w:p w14:paraId="456BE028" w14:textId="7C0097F5" w:rsidR="00E80B8D" w:rsidRDefault="00E80B8D" w:rsidP="003579F2">
      <w:pPr>
        <w:rPr>
          <w:szCs w:val="24"/>
        </w:rPr>
      </w:pPr>
      <w:r>
        <w:rPr>
          <w:szCs w:val="24"/>
        </w:rPr>
        <w:t xml:space="preserve">Da Medietilsynet har avvist nærmere </w:t>
      </w:r>
      <w:proofErr w:type="spellStart"/>
      <w:r>
        <w:rPr>
          <w:szCs w:val="24"/>
        </w:rPr>
        <w:t>stillingstaken</w:t>
      </w:r>
      <w:proofErr w:type="spellEnd"/>
      <w:r>
        <w:rPr>
          <w:szCs w:val="24"/>
        </w:rPr>
        <w:t xml:space="preserve"> for flere av sakens sentrale spørsmål, bes det på vegne av A-Media AS om et møte for nærmere avklaring av hvordan </w:t>
      </w:r>
      <w:proofErr w:type="spellStart"/>
      <w:r>
        <w:rPr>
          <w:szCs w:val="24"/>
        </w:rPr>
        <w:t>Kultur-og</w:t>
      </w:r>
      <w:proofErr w:type="spellEnd"/>
      <w:r>
        <w:rPr>
          <w:szCs w:val="24"/>
        </w:rPr>
        <w:t xml:space="preserve"> likestillingsdepartementet oppfatter sakens spørsmål. Som man også uttrykkelig vil gjøre oppmerksom på, vil man uten en tilfredsstillende avklaring fra departementet rundt dette føre en sak videre mot staten med krav om erstatning på det tidligere beskrevne grunnlag. </w:t>
      </w:r>
    </w:p>
    <w:p w14:paraId="53A9FCB4" w14:textId="77777777" w:rsidR="00E80B8D" w:rsidRDefault="00E80B8D" w:rsidP="003579F2">
      <w:pPr>
        <w:rPr>
          <w:szCs w:val="24"/>
        </w:rPr>
      </w:pPr>
    </w:p>
    <w:p w14:paraId="175984EF" w14:textId="77777777" w:rsidR="00F441E2" w:rsidRDefault="00E80B8D" w:rsidP="003579F2">
      <w:pPr>
        <w:rPr>
          <w:szCs w:val="24"/>
        </w:rPr>
      </w:pPr>
      <w:r>
        <w:rPr>
          <w:szCs w:val="24"/>
        </w:rPr>
        <w:t xml:space="preserve">Også de øvrige spørsmålene A-Media AS har uttrykt bekymring for bør departementet etter A-Media AS’ oppfatning avklare på en tydelig og forståelig måte. At man skal tillate at statsstøtte utbetales til utbygging av et lokalradionett for DAB, for så å unnlate å reagere når man får kjennskap til at omsøkte utbygging ikke har funnet sted, fremstår fremmed for A-Media AS. </w:t>
      </w:r>
    </w:p>
    <w:p w14:paraId="1A378F2D" w14:textId="77777777" w:rsidR="00F441E2" w:rsidRDefault="00F441E2" w:rsidP="003579F2">
      <w:pPr>
        <w:rPr>
          <w:szCs w:val="24"/>
        </w:rPr>
      </w:pPr>
    </w:p>
    <w:p w14:paraId="19086214" w14:textId="730C36B9" w:rsidR="00E80B8D" w:rsidRDefault="00E80B8D" w:rsidP="003579F2">
      <w:pPr>
        <w:rPr>
          <w:szCs w:val="24"/>
        </w:rPr>
      </w:pPr>
      <w:r>
        <w:rPr>
          <w:szCs w:val="24"/>
        </w:rPr>
        <w:t xml:space="preserve">Også at man skal unnlate å føre tilsyn med og besørge at klare krav fra myndighetssiden knyttet til </w:t>
      </w:r>
      <w:proofErr w:type="spellStart"/>
      <w:r>
        <w:rPr>
          <w:szCs w:val="24"/>
        </w:rPr>
        <w:t>ekomnettautorisasjon</w:t>
      </w:r>
      <w:proofErr w:type="spellEnd"/>
      <w:r w:rsidR="00F441E2">
        <w:rPr>
          <w:szCs w:val="24"/>
        </w:rPr>
        <w:t xml:space="preserve"> følges</w:t>
      </w:r>
      <w:r>
        <w:rPr>
          <w:szCs w:val="24"/>
        </w:rPr>
        <w:t xml:space="preserve">, på tross av at det for A-Media AS’ syn fremstår tydelig at slik autorisasjon mangler for et stort antall konsesjonærers del, </w:t>
      </w:r>
      <w:r w:rsidR="00F441E2">
        <w:rPr>
          <w:szCs w:val="24"/>
        </w:rPr>
        <w:t xml:space="preserve">bør etter A-Media AS’ oppfatning følges opp av departementet. </w:t>
      </w:r>
    </w:p>
    <w:p w14:paraId="26D51FC4" w14:textId="77777777" w:rsidR="00F441E2" w:rsidRDefault="00F441E2" w:rsidP="003579F2">
      <w:pPr>
        <w:rPr>
          <w:szCs w:val="24"/>
        </w:rPr>
      </w:pPr>
    </w:p>
    <w:p w14:paraId="5D270142" w14:textId="4038A1E7" w:rsidR="00881B09" w:rsidRDefault="00F441E2" w:rsidP="007D7080">
      <w:pPr>
        <w:rPr>
          <w:szCs w:val="24"/>
        </w:rPr>
      </w:pPr>
      <w:r>
        <w:rPr>
          <w:szCs w:val="24"/>
        </w:rPr>
        <w:t xml:space="preserve">Det bes om at departementet tar kontakt med undertegnede for avklaring av møtetidspunkt til avklaring av disse spørsmålene. Undertegnede er tilgjengelig på e-post: gmh@advokatfirmaoglend.no eller telefon: 51 97 20 20. </w:t>
      </w:r>
    </w:p>
    <w:p w14:paraId="1C358DCE" w14:textId="77777777" w:rsidR="007D450A" w:rsidRDefault="007D450A" w:rsidP="007D7080">
      <w:pPr>
        <w:rPr>
          <w:szCs w:val="24"/>
        </w:rPr>
      </w:pPr>
    </w:p>
    <w:p w14:paraId="4D8DC6AA" w14:textId="77777777" w:rsidR="00BC3409" w:rsidRPr="00E34C3A" w:rsidRDefault="00BC3409" w:rsidP="007D7080">
      <w:pPr>
        <w:rPr>
          <w:szCs w:val="24"/>
        </w:rPr>
      </w:pPr>
    </w:p>
    <w:p w14:paraId="530B55C0" w14:textId="77777777" w:rsidR="007D7080" w:rsidRPr="00E34C3A" w:rsidRDefault="007D7080" w:rsidP="007D7080">
      <w:pPr>
        <w:rPr>
          <w:szCs w:val="24"/>
        </w:rPr>
      </w:pPr>
    </w:p>
    <w:p w14:paraId="74E59976" w14:textId="77777777" w:rsidR="007D7080" w:rsidRPr="00E34C3A" w:rsidRDefault="00000000" w:rsidP="0077719D">
      <w:pPr>
        <w:ind w:firstLine="720"/>
        <w:jc w:val="center"/>
        <w:rPr>
          <w:szCs w:val="24"/>
        </w:rPr>
      </w:pPr>
      <w:r w:rsidRPr="00E34C3A">
        <w:rPr>
          <w:szCs w:val="24"/>
        </w:rPr>
        <w:t>Med vennlig hilsen</w:t>
      </w:r>
    </w:p>
    <w:p w14:paraId="273D4798" w14:textId="77777777" w:rsidR="007D7080" w:rsidRPr="00E34C3A" w:rsidRDefault="007D7080" w:rsidP="0077719D">
      <w:pPr>
        <w:jc w:val="center"/>
        <w:rPr>
          <w:szCs w:val="24"/>
        </w:rPr>
      </w:pPr>
    </w:p>
    <w:p w14:paraId="74F05248" w14:textId="77777777" w:rsidR="007D7080" w:rsidRPr="00E34C3A" w:rsidRDefault="007D7080" w:rsidP="0077719D">
      <w:pPr>
        <w:jc w:val="center"/>
        <w:rPr>
          <w:szCs w:val="24"/>
        </w:rPr>
      </w:pPr>
    </w:p>
    <w:p w14:paraId="4291799C" w14:textId="77777777" w:rsidR="007D7080" w:rsidRDefault="00000000" w:rsidP="0077719D">
      <w:pPr>
        <w:ind w:firstLine="720"/>
        <w:jc w:val="center"/>
        <w:rPr>
          <w:szCs w:val="24"/>
          <w:lang w:val="en-US"/>
        </w:rPr>
      </w:pPr>
      <w:r w:rsidRPr="00E34C3A">
        <w:rPr>
          <w:szCs w:val="24"/>
          <w:lang w:val="en-US"/>
        </w:rPr>
        <w:t>Gullik Maudal Huseby</w:t>
      </w:r>
    </w:p>
    <w:p w14:paraId="5ADF35AA" w14:textId="3A54BA71" w:rsidR="00585214" w:rsidRPr="00E34C3A" w:rsidRDefault="00585214" w:rsidP="0077719D">
      <w:pPr>
        <w:ind w:firstLine="720"/>
        <w:jc w:val="center"/>
        <w:rPr>
          <w:szCs w:val="24"/>
          <w:lang w:val="en-US"/>
        </w:rPr>
      </w:pPr>
      <w:proofErr w:type="spellStart"/>
      <w:r>
        <w:rPr>
          <w:szCs w:val="24"/>
          <w:lang w:val="en-US"/>
        </w:rPr>
        <w:t>advokat</w:t>
      </w:r>
      <w:proofErr w:type="spellEnd"/>
    </w:p>
    <w:p w14:paraId="61F32D69" w14:textId="77777777" w:rsidR="006B44CC" w:rsidRPr="00E34C3A" w:rsidRDefault="006B44CC" w:rsidP="0077719D">
      <w:pPr>
        <w:tabs>
          <w:tab w:val="left" w:pos="4768"/>
        </w:tabs>
        <w:jc w:val="center"/>
        <w:rPr>
          <w:szCs w:val="24"/>
          <w:lang w:val="en-US"/>
        </w:rPr>
      </w:pPr>
    </w:p>
    <w:sectPr w:rsidR="006B44CC" w:rsidRPr="00E34C3A" w:rsidSect="00D610BD">
      <w:headerReference w:type="default" r:id="rId8"/>
      <w:footerReference w:type="default" r:id="rId9"/>
      <w:headerReference w:type="first" r:id="rId10"/>
      <w:footerReference w:type="first" r:id="rId11"/>
      <w:footnotePr>
        <w:numFmt w:val="lowerRoman"/>
      </w:footnotePr>
      <w:endnotePr>
        <w:numFmt w:val="decimal"/>
      </w:endnotePr>
      <w:type w:val="continuous"/>
      <w:pgSz w:w="11907" w:h="16834" w:code="9"/>
      <w:pgMar w:top="1725" w:right="1435" w:bottom="272" w:left="1435" w:header="561" w:footer="397" w:gutter="0"/>
      <w:paperSrc w:first="1" w:other="2"/>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2ADFA" w14:textId="77777777" w:rsidR="00AA3A7C" w:rsidRDefault="00AA3A7C">
      <w:r>
        <w:separator/>
      </w:r>
    </w:p>
  </w:endnote>
  <w:endnote w:type="continuationSeparator" w:id="0">
    <w:p w14:paraId="139D962C" w14:textId="77777777" w:rsidR="00AA3A7C" w:rsidRDefault="00AA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Univers 47 CondensedLight">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pPr w:leftFromText="180" w:rightFromText="180" w:vertAnchor="text" w:tblpY="1"/>
      <w:tblOverlap w:val="never"/>
      <w:tblW w:w="1785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5"/>
      <w:gridCol w:w="2205"/>
      <w:gridCol w:w="2205"/>
      <w:gridCol w:w="2205"/>
      <w:gridCol w:w="2205"/>
      <w:gridCol w:w="2865"/>
      <w:gridCol w:w="2059"/>
      <w:gridCol w:w="1908"/>
    </w:tblGrid>
    <w:tr w:rsidR="00A35283" w14:paraId="66CC20A8" w14:textId="77777777">
      <w:tc>
        <w:tcPr>
          <w:tcW w:w="2205" w:type="dxa"/>
          <w:vAlign w:val="bottom"/>
        </w:tcPr>
        <w:p w14:paraId="38E4F9DD" w14:textId="77777777" w:rsidR="00BC3409" w:rsidRPr="007D7080" w:rsidRDefault="00000000" w:rsidP="00BC3409">
          <w:pPr>
            <w:pStyle w:val="Bunntekst"/>
            <w:rPr>
              <w:b/>
              <w:lang w:val="en-US"/>
            </w:rPr>
          </w:pPr>
          <w:r w:rsidRPr="007D7080">
            <w:rPr>
              <w:b/>
              <w:lang w:val="en-US"/>
            </w:rPr>
            <w:t>Advokatfirma Øglænd &amp; Co AS</w:t>
          </w:r>
        </w:p>
        <w:p w14:paraId="4352707F" w14:textId="77777777" w:rsidR="00BC3409" w:rsidRPr="007D7080" w:rsidRDefault="00000000" w:rsidP="00BC3409">
          <w:pPr>
            <w:pStyle w:val="Bunntekst"/>
            <w:rPr>
              <w:lang w:val="en-US"/>
            </w:rPr>
          </w:pPr>
          <w:r w:rsidRPr="007D7080">
            <w:rPr>
              <w:lang w:val="en-US"/>
            </w:rPr>
            <w:t>Luramyrveien 25 A,</w:t>
          </w:r>
        </w:p>
        <w:p w14:paraId="4CB2907A" w14:textId="77777777" w:rsidR="00BC3409" w:rsidRPr="002D52AC" w:rsidRDefault="00000000" w:rsidP="00BC3409">
          <w:pPr>
            <w:pStyle w:val="Bunntekst"/>
          </w:pPr>
          <w:r w:rsidRPr="002D52AC">
            <w:t>4313 Sandnes</w:t>
          </w:r>
        </w:p>
        <w:p w14:paraId="795D7813" w14:textId="77777777" w:rsidR="00BC3409" w:rsidRPr="002D52AC" w:rsidRDefault="00000000" w:rsidP="00BC3409">
          <w:pPr>
            <w:pStyle w:val="Bunntekst"/>
          </w:pPr>
          <w:r w:rsidRPr="002D52AC">
            <w:t>51 97 20 20</w:t>
          </w:r>
        </w:p>
        <w:p w14:paraId="11D4765A" w14:textId="77777777" w:rsidR="00BC3409" w:rsidRDefault="00BC3409" w:rsidP="00BC3409">
          <w:pPr>
            <w:pStyle w:val="Bunntekst"/>
          </w:pPr>
          <w:hyperlink r:id="rId1" w:history="1">
            <w:r w:rsidRPr="00F2057F">
              <w:t>www.advokatfirmaoglend.no</w:t>
            </w:r>
          </w:hyperlink>
          <w:r w:rsidR="00000000">
            <w:t xml:space="preserve"> </w:t>
          </w:r>
        </w:p>
        <w:p w14:paraId="1ECD2181" w14:textId="77777777" w:rsidR="00BC3409" w:rsidRDefault="00BC3409" w:rsidP="00BC3409">
          <w:pPr>
            <w:pStyle w:val="Bunntekst"/>
          </w:pPr>
        </w:p>
        <w:p w14:paraId="3E8B1E4A" w14:textId="77777777" w:rsidR="00BC3409" w:rsidRDefault="00BC3409" w:rsidP="00BC3409">
          <w:pPr>
            <w:pStyle w:val="Bunntekst"/>
          </w:pPr>
        </w:p>
        <w:p w14:paraId="7A15E135" w14:textId="77777777" w:rsidR="00BC3409" w:rsidRDefault="00BC3409" w:rsidP="00BC3409">
          <w:pPr>
            <w:pStyle w:val="Bunntekst"/>
          </w:pPr>
        </w:p>
      </w:tc>
      <w:tc>
        <w:tcPr>
          <w:tcW w:w="2205" w:type="dxa"/>
          <w:vAlign w:val="bottom"/>
        </w:tcPr>
        <w:p w14:paraId="346DB6C6" w14:textId="77777777" w:rsidR="00BC3409" w:rsidRPr="002D52AC" w:rsidRDefault="00000000" w:rsidP="00BC3409">
          <w:pPr>
            <w:pStyle w:val="Bunntekst"/>
          </w:pPr>
          <w:r w:rsidRPr="002D52AC">
            <w:t xml:space="preserve">Org. nr.: NO 990 209 022 MVA     </w:t>
          </w:r>
        </w:p>
        <w:p w14:paraId="7009A1F8" w14:textId="77777777" w:rsidR="00BC3409" w:rsidRPr="002D52AC" w:rsidRDefault="00000000" w:rsidP="00BC3409">
          <w:pPr>
            <w:pStyle w:val="Bunntekst"/>
          </w:pPr>
          <w:r w:rsidRPr="002D52AC">
            <w:t xml:space="preserve">Driftskonto: 3205.24.27265     </w:t>
          </w:r>
        </w:p>
        <w:p w14:paraId="3C979158" w14:textId="77777777" w:rsidR="00BC3409" w:rsidRDefault="00000000" w:rsidP="00BC3409">
          <w:pPr>
            <w:pStyle w:val="Bunntekst"/>
          </w:pPr>
          <w:r w:rsidRPr="002D52AC">
            <w:t>Klientkonto: 3205.24.27303</w:t>
          </w:r>
        </w:p>
        <w:p w14:paraId="1DAFA653" w14:textId="77777777" w:rsidR="00BC3409" w:rsidRDefault="00BC3409" w:rsidP="00BC3409">
          <w:pPr>
            <w:pStyle w:val="Bunntekst"/>
          </w:pPr>
        </w:p>
        <w:p w14:paraId="768C9152" w14:textId="77777777" w:rsidR="00BC3409" w:rsidRDefault="00BC3409" w:rsidP="00BC3409">
          <w:pPr>
            <w:pStyle w:val="Bunntekst"/>
          </w:pPr>
        </w:p>
        <w:p w14:paraId="09AFE875" w14:textId="77777777" w:rsidR="00BC3409" w:rsidRDefault="00BC3409" w:rsidP="00BC3409">
          <w:pPr>
            <w:pStyle w:val="Bunntekst"/>
          </w:pPr>
        </w:p>
      </w:tc>
      <w:tc>
        <w:tcPr>
          <w:tcW w:w="2205" w:type="dxa"/>
          <w:vAlign w:val="bottom"/>
        </w:tcPr>
        <w:p w14:paraId="3C75991C" w14:textId="77777777" w:rsidR="00BC3409" w:rsidRPr="006A74C0" w:rsidRDefault="00BC3409" w:rsidP="00BC3409">
          <w:pPr>
            <w:pStyle w:val="Bunntekst"/>
            <w:jc w:val="right"/>
          </w:pPr>
        </w:p>
        <w:p w14:paraId="067FA164" w14:textId="77777777" w:rsidR="00BC3409" w:rsidRPr="006A74C0" w:rsidRDefault="00000000" w:rsidP="00BC3409">
          <w:pPr>
            <w:pStyle w:val="Bunntekst"/>
            <w:jc w:val="right"/>
          </w:pPr>
          <w:r w:rsidRPr="006A74C0">
            <w:t>Håkon Halvorsen</w:t>
          </w:r>
        </w:p>
        <w:p w14:paraId="695F211D" w14:textId="77777777" w:rsidR="00BC3409" w:rsidRPr="006A74C0" w:rsidRDefault="00000000" w:rsidP="00BC3409">
          <w:pPr>
            <w:pStyle w:val="Bunntekst"/>
            <w:jc w:val="right"/>
          </w:pPr>
          <w:r w:rsidRPr="006A74C0">
            <w:t>Harald Øglænd</w:t>
          </w:r>
        </w:p>
        <w:p w14:paraId="018640B0" w14:textId="77777777" w:rsidR="00BC3409" w:rsidRDefault="00000000" w:rsidP="00BC3409">
          <w:pPr>
            <w:pStyle w:val="Bunntekst"/>
            <w:jc w:val="right"/>
          </w:pPr>
          <w:r w:rsidRPr="006A74C0">
            <w:t>Håkon Pinderød Eliassen</w:t>
          </w:r>
        </w:p>
        <w:p w14:paraId="166C49AD" w14:textId="77777777" w:rsidR="00BC3409" w:rsidRDefault="00000000" w:rsidP="00BC3409">
          <w:pPr>
            <w:pStyle w:val="Bunntekst"/>
            <w:jc w:val="right"/>
          </w:pPr>
          <w:r>
            <w:t>Gullik Maudal Huseby</w:t>
          </w:r>
        </w:p>
        <w:p w14:paraId="53532BFE" w14:textId="77777777" w:rsidR="00BC3409" w:rsidRDefault="00000000" w:rsidP="00BC3409">
          <w:pPr>
            <w:pStyle w:val="Bunntekst"/>
            <w:jc w:val="right"/>
          </w:pPr>
          <w:r>
            <w:t>Kristian Kleppe</w:t>
          </w:r>
        </w:p>
        <w:p w14:paraId="38CB92D1" w14:textId="77777777" w:rsidR="00BC3409" w:rsidRDefault="00000000" w:rsidP="00BC3409">
          <w:pPr>
            <w:pStyle w:val="Bunntekst"/>
            <w:jc w:val="right"/>
          </w:pPr>
          <w:r>
            <w:t>Asle Balke Murvold</w:t>
          </w:r>
        </w:p>
        <w:p w14:paraId="74CC2E7E" w14:textId="77777777" w:rsidR="00BC3409" w:rsidRDefault="00BC3409" w:rsidP="00BC3409">
          <w:pPr>
            <w:pStyle w:val="Bunntekst"/>
            <w:jc w:val="right"/>
          </w:pPr>
        </w:p>
        <w:p w14:paraId="58209E6B" w14:textId="77777777" w:rsidR="00BC3409" w:rsidRDefault="00BC3409" w:rsidP="00BC3409">
          <w:pPr>
            <w:pStyle w:val="Bunntekst"/>
          </w:pPr>
        </w:p>
      </w:tc>
      <w:tc>
        <w:tcPr>
          <w:tcW w:w="2205" w:type="dxa"/>
          <w:vAlign w:val="bottom"/>
        </w:tcPr>
        <w:p w14:paraId="766A5871" w14:textId="77777777" w:rsidR="00BC3409" w:rsidRPr="006A74C0" w:rsidRDefault="00BC3409" w:rsidP="00BC3409">
          <w:pPr>
            <w:pStyle w:val="Bunntekst"/>
          </w:pPr>
          <w:hyperlink r:id="rId2" w:history="1">
            <w:r w:rsidRPr="006A74C0">
              <w:rPr>
                <w:rStyle w:val="Hyperkobling"/>
                <w:color w:val="auto"/>
              </w:rPr>
              <w:t xml:space="preserve">hh@advokatfirmaoglend.no </w:t>
            </w:r>
          </w:hyperlink>
        </w:p>
        <w:p w14:paraId="68CFE4A1" w14:textId="77777777" w:rsidR="00BC3409" w:rsidRPr="006A74C0" w:rsidRDefault="00BC3409" w:rsidP="00BC3409">
          <w:pPr>
            <w:pStyle w:val="Bunntekst"/>
          </w:pPr>
          <w:hyperlink r:id="rId3" w:history="1">
            <w:r w:rsidRPr="006A74C0">
              <w:rPr>
                <w:rStyle w:val="Hyperkobling"/>
                <w:color w:val="auto"/>
              </w:rPr>
              <w:t xml:space="preserve">ho@advokatfirmaoglend.no </w:t>
            </w:r>
          </w:hyperlink>
        </w:p>
        <w:p w14:paraId="0A82DED1" w14:textId="77777777" w:rsidR="00BC3409" w:rsidRPr="006B44CC" w:rsidRDefault="00BC3409" w:rsidP="00BC3409">
          <w:pPr>
            <w:pStyle w:val="Bunntekst"/>
            <w:rPr>
              <w:rStyle w:val="Hyperkobling"/>
              <w:color w:val="auto"/>
            </w:rPr>
          </w:pPr>
          <w:hyperlink r:id="rId4" w:history="1">
            <w:r w:rsidRPr="006B44CC">
              <w:rPr>
                <w:rStyle w:val="Hyperkobling"/>
                <w:color w:val="auto"/>
              </w:rPr>
              <w:t xml:space="preserve">he@advokatfirmaoglend.no </w:t>
            </w:r>
          </w:hyperlink>
        </w:p>
        <w:p w14:paraId="59AAA1BC" w14:textId="77777777" w:rsidR="00BC3409" w:rsidRPr="006B44CC" w:rsidRDefault="00BC3409" w:rsidP="00BC3409">
          <w:pPr>
            <w:pStyle w:val="Bunntekst"/>
            <w:rPr>
              <w:rStyle w:val="Hyperkobling"/>
              <w:color w:val="auto"/>
            </w:rPr>
          </w:pPr>
          <w:hyperlink r:id="rId5" w:history="1">
            <w:r w:rsidRPr="006B44CC">
              <w:rPr>
                <w:rStyle w:val="Hyperkobling"/>
                <w:color w:val="auto"/>
              </w:rPr>
              <w:t>gmh@advokatfirmaoglend.no</w:t>
            </w:r>
          </w:hyperlink>
        </w:p>
        <w:p w14:paraId="020B90C7" w14:textId="77777777" w:rsidR="00BC3409" w:rsidRDefault="00BC3409" w:rsidP="00BC3409">
          <w:pPr>
            <w:pStyle w:val="Bunntekst"/>
          </w:pPr>
          <w:hyperlink r:id="rId6" w:history="1">
            <w:r w:rsidRPr="006B44CC">
              <w:rPr>
                <w:rStyle w:val="Hyperkobling"/>
                <w:color w:val="auto"/>
              </w:rPr>
              <w:t>kk@advokatfirmaoglend.no</w:t>
            </w:r>
          </w:hyperlink>
          <w:r w:rsidR="00000000" w:rsidRPr="006B44CC">
            <w:t xml:space="preserve"> </w:t>
          </w:r>
        </w:p>
        <w:p w14:paraId="10BDCFDA" w14:textId="77777777" w:rsidR="00BC3409" w:rsidRDefault="00BC3409" w:rsidP="00BC3409">
          <w:pPr>
            <w:pStyle w:val="Bunntekst"/>
          </w:pPr>
          <w:hyperlink r:id="rId7" w:history="1">
            <w:r w:rsidRPr="00617D5D">
              <w:rPr>
                <w:rStyle w:val="Hyperkobling"/>
                <w:color w:val="auto"/>
              </w:rPr>
              <w:t>abm@advokatfirmaoglend.no</w:t>
            </w:r>
          </w:hyperlink>
          <w:r w:rsidR="00000000" w:rsidRPr="00617D5D">
            <w:t xml:space="preserve"> </w:t>
          </w:r>
        </w:p>
        <w:p w14:paraId="5CDBA275" w14:textId="77777777" w:rsidR="00BC3409" w:rsidRPr="00617D5D" w:rsidRDefault="00BC3409" w:rsidP="00BC3409">
          <w:pPr>
            <w:pStyle w:val="Bunntekst"/>
          </w:pPr>
        </w:p>
        <w:p w14:paraId="70F43F30" w14:textId="77777777" w:rsidR="00BC3409" w:rsidRDefault="00BC3409" w:rsidP="00BC3409">
          <w:pPr>
            <w:pStyle w:val="Bunntekst"/>
          </w:pPr>
        </w:p>
      </w:tc>
      <w:tc>
        <w:tcPr>
          <w:tcW w:w="2205" w:type="dxa"/>
          <w:vAlign w:val="bottom"/>
        </w:tcPr>
        <w:p w14:paraId="652908B9" w14:textId="77777777" w:rsidR="00BC3409" w:rsidRDefault="00BC3409" w:rsidP="00BC3409">
          <w:pPr>
            <w:pStyle w:val="Bunntekst"/>
          </w:pPr>
        </w:p>
      </w:tc>
      <w:tc>
        <w:tcPr>
          <w:tcW w:w="2865" w:type="dxa"/>
          <w:vAlign w:val="bottom"/>
        </w:tcPr>
        <w:p w14:paraId="72409DCF" w14:textId="77777777" w:rsidR="00BC3409" w:rsidRPr="003A5324" w:rsidRDefault="00BC3409" w:rsidP="00BC3409">
          <w:pPr>
            <w:pStyle w:val="Bunntekst"/>
          </w:pPr>
        </w:p>
      </w:tc>
      <w:tc>
        <w:tcPr>
          <w:tcW w:w="2059" w:type="dxa"/>
          <w:vAlign w:val="bottom"/>
        </w:tcPr>
        <w:p w14:paraId="33F31106" w14:textId="77777777" w:rsidR="00BC3409" w:rsidRPr="00226F48" w:rsidRDefault="00BC3409" w:rsidP="00BC3409">
          <w:pPr>
            <w:pStyle w:val="Bunntekst"/>
            <w:jc w:val="right"/>
          </w:pPr>
        </w:p>
      </w:tc>
      <w:tc>
        <w:tcPr>
          <w:tcW w:w="1908" w:type="dxa"/>
          <w:vAlign w:val="bottom"/>
        </w:tcPr>
        <w:p w14:paraId="0EE0F2B7" w14:textId="77777777" w:rsidR="00BC3409" w:rsidRPr="00226F48" w:rsidRDefault="00BC3409" w:rsidP="00BC3409">
          <w:pPr>
            <w:pStyle w:val="Bunntekst"/>
          </w:pPr>
        </w:p>
      </w:tc>
    </w:tr>
  </w:tbl>
  <w:p w14:paraId="400DC67E" w14:textId="77777777" w:rsidR="00F73062" w:rsidRDefault="00F7306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pPr w:leftFromText="180" w:rightFromText="180" w:vertAnchor="text" w:tblpY="1"/>
      <w:tblOverlap w:val="nev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5"/>
      <w:gridCol w:w="2865"/>
      <w:gridCol w:w="2059"/>
      <w:gridCol w:w="1908"/>
    </w:tblGrid>
    <w:tr w:rsidR="00A35283" w14:paraId="716B4984" w14:textId="77777777">
      <w:tc>
        <w:tcPr>
          <w:tcW w:w="2205" w:type="dxa"/>
          <w:vAlign w:val="bottom"/>
        </w:tcPr>
        <w:p w14:paraId="0A232959" w14:textId="77777777" w:rsidR="00E748BF" w:rsidRPr="007D7080" w:rsidRDefault="00000000" w:rsidP="00E748BF">
          <w:pPr>
            <w:pStyle w:val="Bunntekst"/>
            <w:rPr>
              <w:b/>
              <w:lang w:val="en-US"/>
            </w:rPr>
          </w:pPr>
          <w:r w:rsidRPr="007D7080">
            <w:rPr>
              <w:b/>
              <w:lang w:val="en-US"/>
            </w:rPr>
            <w:t>Advokatfirma Øglænd &amp; Co AS</w:t>
          </w:r>
        </w:p>
        <w:p w14:paraId="01F5E9DE" w14:textId="77777777" w:rsidR="00E748BF" w:rsidRPr="007D7080" w:rsidRDefault="00000000" w:rsidP="00E748BF">
          <w:pPr>
            <w:pStyle w:val="Bunntekst"/>
            <w:rPr>
              <w:lang w:val="en-US"/>
            </w:rPr>
          </w:pPr>
          <w:r w:rsidRPr="007D7080">
            <w:rPr>
              <w:lang w:val="en-US"/>
            </w:rPr>
            <w:t>Luramyrveien 25 A,</w:t>
          </w:r>
        </w:p>
        <w:p w14:paraId="52199568" w14:textId="77777777" w:rsidR="00E748BF" w:rsidRPr="002D52AC" w:rsidRDefault="00000000" w:rsidP="00E748BF">
          <w:pPr>
            <w:pStyle w:val="Bunntekst"/>
          </w:pPr>
          <w:r w:rsidRPr="002D52AC">
            <w:t>4313 Sandnes</w:t>
          </w:r>
        </w:p>
        <w:p w14:paraId="3A85939F" w14:textId="77777777" w:rsidR="00E748BF" w:rsidRPr="002D52AC" w:rsidRDefault="00000000" w:rsidP="00E748BF">
          <w:pPr>
            <w:pStyle w:val="Bunntekst"/>
          </w:pPr>
          <w:r w:rsidRPr="002D52AC">
            <w:t>51 97 20 20</w:t>
          </w:r>
        </w:p>
        <w:p w14:paraId="317D0744" w14:textId="77777777" w:rsidR="00E748BF" w:rsidRDefault="00E748BF" w:rsidP="00E748BF">
          <w:pPr>
            <w:pStyle w:val="Bunntekst"/>
          </w:pPr>
          <w:hyperlink r:id="rId1" w:history="1">
            <w:r w:rsidRPr="00F2057F">
              <w:t>www.advokatfirmaoglend.no</w:t>
            </w:r>
          </w:hyperlink>
          <w:r w:rsidR="00000000">
            <w:t xml:space="preserve"> </w:t>
          </w:r>
        </w:p>
        <w:p w14:paraId="248C80A4" w14:textId="77777777" w:rsidR="00E748BF" w:rsidRDefault="00E748BF" w:rsidP="00E748BF">
          <w:pPr>
            <w:pStyle w:val="Bunntekst"/>
          </w:pPr>
        </w:p>
        <w:p w14:paraId="3D2FCB40" w14:textId="77777777" w:rsidR="00E748BF" w:rsidRDefault="00E748BF" w:rsidP="00E748BF">
          <w:pPr>
            <w:pStyle w:val="Bunntekst"/>
          </w:pPr>
        </w:p>
        <w:p w14:paraId="6D952E83" w14:textId="77777777" w:rsidR="00E748BF" w:rsidRDefault="00E748BF" w:rsidP="00E748BF">
          <w:pPr>
            <w:pStyle w:val="Bunntekst"/>
          </w:pPr>
        </w:p>
      </w:tc>
      <w:tc>
        <w:tcPr>
          <w:tcW w:w="2865" w:type="dxa"/>
          <w:vAlign w:val="bottom"/>
        </w:tcPr>
        <w:p w14:paraId="0F2656BF" w14:textId="77777777" w:rsidR="00E748BF" w:rsidRPr="002D52AC" w:rsidRDefault="00000000" w:rsidP="00E748BF">
          <w:pPr>
            <w:pStyle w:val="Bunntekst"/>
          </w:pPr>
          <w:r w:rsidRPr="002D52AC">
            <w:t xml:space="preserve">Org. nr.: NO 990 209 022 MVA     </w:t>
          </w:r>
        </w:p>
        <w:p w14:paraId="4CDA9A4E" w14:textId="77777777" w:rsidR="00E748BF" w:rsidRPr="002D52AC" w:rsidRDefault="00000000" w:rsidP="00E748BF">
          <w:pPr>
            <w:pStyle w:val="Bunntekst"/>
          </w:pPr>
          <w:r w:rsidRPr="002D52AC">
            <w:t xml:space="preserve">Driftskonto: 3205.24.27265     </w:t>
          </w:r>
        </w:p>
        <w:p w14:paraId="795E6FA9" w14:textId="77777777" w:rsidR="00E748BF" w:rsidRDefault="00000000" w:rsidP="00E748BF">
          <w:pPr>
            <w:pStyle w:val="Bunntekst"/>
          </w:pPr>
          <w:r w:rsidRPr="002D52AC">
            <w:t>Klientkonto: 3205.24.27303</w:t>
          </w:r>
        </w:p>
        <w:p w14:paraId="36EE919E" w14:textId="77777777" w:rsidR="00E748BF" w:rsidRDefault="00E748BF" w:rsidP="00E748BF">
          <w:pPr>
            <w:pStyle w:val="Bunntekst"/>
          </w:pPr>
        </w:p>
        <w:p w14:paraId="79553189" w14:textId="77777777" w:rsidR="00E748BF" w:rsidRDefault="00E748BF" w:rsidP="00E748BF">
          <w:pPr>
            <w:pStyle w:val="Bunntekst"/>
          </w:pPr>
        </w:p>
        <w:p w14:paraId="545A5E7D" w14:textId="77777777" w:rsidR="00E748BF" w:rsidRPr="003A5324" w:rsidRDefault="00E748BF" w:rsidP="00E748BF">
          <w:pPr>
            <w:pStyle w:val="Bunntekst"/>
          </w:pPr>
        </w:p>
      </w:tc>
      <w:tc>
        <w:tcPr>
          <w:tcW w:w="2059" w:type="dxa"/>
          <w:vAlign w:val="bottom"/>
        </w:tcPr>
        <w:p w14:paraId="29E7B5DB" w14:textId="77777777" w:rsidR="00E748BF" w:rsidRPr="006A74C0" w:rsidRDefault="00E748BF" w:rsidP="00E748BF">
          <w:pPr>
            <w:pStyle w:val="Bunntekst"/>
            <w:jc w:val="right"/>
          </w:pPr>
        </w:p>
        <w:p w14:paraId="3938613C" w14:textId="77777777" w:rsidR="00E748BF" w:rsidRPr="006A74C0" w:rsidRDefault="00000000" w:rsidP="00E748BF">
          <w:pPr>
            <w:pStyle w:val="Bunntekst"/>
            <w:jc w:val="right"/>
          </w:pPr>
          <w:r w:rsidRPr="006A74C0">
            <w:t>Håkon Halvorsen</w:t>
          </w:r>
        </w:p>
        <w:p w14:paraId="42F709FF" w14:textId="77777777" w:rsidR="00E748BF" w:rsidRPr="006A74C0" w:rsidRDefault="00000000" w:rsidP="00E748BF">
          <w:pPr>
            <w:pStyle w:val="Bunntekst"/>
            <w:jc w:val="right"/>
          </w:pPr>
          <w:r w:rsidRPr="006A74C0">
            <w:t>Harald Øglænd</w:t>
          </w:r>
        </w:p>
        <w:p w14:paraId="1A475541" w14:textId="77777777" w:rsidR="00E748BF" w:rsidRDefault="00000000" w:rsidP="00E748BF">
          <w:pPr>
            <w:pStyle w:val="Bunntekst"/>
            <w:jc w:val="right"/>
          </w:pPr>
          <w:r w:rsidRPr="006A74C0">
            <w:t>Håkon Pinderød Eliassen</w:t>
          </w:r>
        </w:p>
        <w:p w14:paraId="3D9E5B61" w14:textId="77777777" w:rsidR="00E748BF" w:rsidRDefault="00000000" w:rsidP="00E748BF">
          <w:pPr>
            <w:pStyle w:val="Bunntekst"/>
            <w:jc w:val="right"/>
          </w:pPr>
          <w:r>
            <w:t>Gullik Maudal Huseby</w:t>
          </w:r>
        </w:p>
        <w:p w14:paraId="7F247DFD" w14:textId="77777777" w:rsidR="00E748BF" w:rsidRDefault="00000000" w:rsidP="00E748BF">
          <w:pPr>
            <w:pStyle w:val="Bunntekst"/>
            <w:jc w:val="right"/>
          </w:pPr>
          <w:r>
            <w:t>Kristian Kleppe</w:t>
          </w:r>
        </w:p>
        <w:p w14:paraId="36024660" w14:textId="77777777" w:rsidR="00E748BF" w:rsidRDefault="00000000" w:rsidP="00E748BF">
          <w:pPr>
            <w:pStyle w:val="Bunntekst"/>
            <w:jc w:val="right"/>
          </w:pPr>
          <w:r>
            <w:t>Asle Balke Murvold</w:t>
          </w:r>
        </w:p>
        <w:p w14:paraId="1052A745" w14:textId="77777777" w:rsidR="00E748BF" w:rsidRDefault="00E748BF" w:rsidP="00E748BF">
          <w:pPr>
            <w:pStyle w:val="Bunntekst"/>
            <w:jc w:val="right"/>
          </w:pPr>
        </w:p>
        <w:p w14:paraId="4DE7C61A" w14:textId="77777777" w:rsidR="00E748BF" w:rsidRPr="00226F48" w:rsidRDefault="00E748BF" w:rsidP="00E748BF">
          <w:pPr>
            <w:pStyle w:val="Bunntekst"/>
            <w:jc w:val="right"/>
          </w:pPr>
        </w:p>
      </w:tc>
      <w:tc>
        <w:tcPr>
          <w:tcW w:w="1908" w:type="dxa"/>
          <w:vAlign w:val="bottom"/>
        </w:tcPr>
        <w:p w14:paraId="4FA7AA96" w14:textId="77777777" w:rsidR="00E748BF" w:rsidRPr="006A74C0" w:rsidRDefault="00E748BF" w:rsidP="00E748BF">
          <w:pPr>
            <w:pStyle w:val="Bunntekst"/>
          </w:pPr>
          <w:hyperlink r:id="rId2" w:history="1">
            <w:r w:rsidRPr="006A74C0">
              <w:rPr>
                <w:rStyle w:val="Hyperkobling"/>
                <w:color w:val="auto"/>
              </w:rPr>
              <w:t xml:space="preserve">hh@advokatfirmaoglend.no </w:t>
            </w:r>
          </w:hyperlink>
        </w:p>
        <w:p w14:paraId="6E481FD8" w14:textId="77777777" w:rsidR="00E748BF" w:rsidRPr="006A74C0" w:rsidRDefault="00E748BF" w:rsidP="00E748BF">
          <w:pPr>
            <w:pStyle w:val="Bunntekst"/>
          </w:pPr>
          <w:hyperlink r:id="rId3" w:history="1">
            <w:r w:rsidRPr="006A74C0">
              <w:rPr>
                <w:rStyle w:val="Hyperkobling"/>
                <w:color w:val="auto"/>
              </w:rPr>
              <w:t xml:space="preserve">ho@advokatfirmaoglend.no </w:t>
            </w:r>
          </w:hyperlink>
        </w:p>
        <w:p w14:paraId="5FFA9C20" w14:textId="77777777" w:rsidR="00E748BF" w:rsidRPr="006B44CC" w:rsidRDefault="00E748BF" w:rsidP="00E748BF">
          <w:pPr>
            <w:pStyle w:val="Bunntekst"/>
            <w:rPr>
              <w:rStyle w:val="Hyperkobling"/>
              <w:color w:val="auto"/>
            </w:rPr>
          </w:pPr>
          <w:hyperlink r:id="rId4" w:history="1">
            <w:r w:rsidRPr="006B44CC">
              <w:rPr>
                <w:rStyle w:val="Hyperkobling"/>
                <w:color w:val="auto"/>
              </w:rPr>
              <w:t xml:space="preserve">he@advokatfirmaoglend.no </w:t>
            </w:r>
          </w:hyperlink>
        </w:p>
        <w:p w14:paraId="2C445ECE" w14:textId="77777777" w:rsidR="00E748BF" w:rsidRPr="006B44CC" w:rsidRDefault="00E748BF" w:rsidP="00E748BF">
          <w:pPr>
            <w:pStyle w:val="Bunntekst"/>
            <w:rPr>
              <w:rStyle w:val="Hyperkobling"/>
              <w:color w:val="auto"/>
            </w:rPr>
          </w:pPr>
          <w:hyperlink r:id="rId5" w:history="1">
            <w:r w:rsidRPr="006B44CC">
              <w:rPr>
                <w:rStyle w:val="Hyperkobling"/>
                <w:color w:val="auto"/>
              </w:rPr>
              <w:t>gmh@advokatfirmaoglend.no</w:t>
            </w:r>
          </w:hyperlink>
        </w:p>
        <w:p w14:paraId="55F5BCE2" w14:textId="77777777" w:rsidR="00E748BF" w:rsidRDefault="00E748BF" w:rsidP="00E748BF">
          <w:pPr>
            <w:pStyle w:val="Bunntekst"/>
          </w:pPr>
          <w:hyperlink r:id="rId6" w:history="1">
            <w:r w:rsidRPr="006B44CC">
              <w:rPr>
                <w:rStyle w:val="Hyperkobling"/>
                <w:color w:val="auto"/>
              </w:rPr>
              <w:t>kk@advokatfirmaoglend.no</w:t>
            </w:r>
          </w:hyperlink>
          <w:r w:rsidR="00000000" w:rsidRPr="006B44CC">
            <w:t xml:space="preserve"> </w:t>
          </w:r>
        </w:p>
        <w:p w14:paraId="4F5BFED8" w14:textId="77777777" w:rsidR="00E748BF" w:rsidRDefault="00E748BF" w:rsidP="00E748BF">
          <w:pPr>
            <w:pStyle w:val="Bunntekst"/>
          </w:pPr>
          <w:hyperlink r:id="rId7" w:history="1">
            <w:r w:rsidRPr="00617D5D">
              <w:rPr>
                <w:rStyle w:val="Hyperkobling"/>
                <w:color w:val="auto"/>
              </w:rPr>
              <w:t>abm@advokatfirmaoglend.no</w:t>
            </w:r>
          </w:hyperlink>
          <w:r w:rsidR="00000000" w:rsidRPr="00617D5D">
            <w:t xml:space="preserve"> </w:t>
          </w:r>
        </w:p>
        <w:p w14:paraId="174C8F05" w14:textId="77777777" w:rsidR="00E748BF" w:rsidRPr="00617D5D" w:rsidRDefault="00E748BF" w:rsidP="00E748BF">
          <w:pPr>
            <w:pStyle w:val="Bunntekst"/>
          </w:pPr>
        </w:p>
        <w:p w14:paraId="6F177187" w14:textId="77777777" w:rsidR="00E748BF" w:rsidRPr="00226F48" w:rsidRDefault="00E748BF" w:rsidP="00E748BF">
          <w:pPr>
            <w:pStyle w:val="Bunntekst"/>
          </w:pPr>
        </w:p>
      </w:tc>
    </w:tr>
  </w:tbl>
  <w:p w14:paraId="3BF0485C" w14:textId="77777777" w:rsidR="00A7049B" w:rsidRPr="00787192" w:rsidRDefault="00A7049B" w:rsidP="00A7049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6E781" w14:textId="77777777" w:rsidR="00AA3A7C" w:rsidRDefault="00AA3A7C">
      <w:r>
        <w:separator/>
      </w:r>
    </w:p>
  </w:footnote>
  <w:footnote w:type="continuationSeparator" w:id="0">
    <w:p w14:paraId="2442EA78" w14:textId="77777777" w:rsidR="00AA3A7C" w:rsidRDefault="00AA3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3737353"/>
      <w:docPartObj>
        <w:docPartGallery w:val="Page Numbers (Top of Page)"/>
        <w:docPartUnique/>
      </w:docPartObj>
    </w:sdtPr>
    <w:sdtContent>
      <w:p w14:paraId="70A84457" w14:textId="77777777" w:rsidR="006A74C0" w:rsidRDefault="00000000">
        <w:pPr>
          <w:pStyle w:val="Topptekst"/>
          <w:jc w:val="right"/>
        </w:pPr>
        <w:r>
          <w:rPr>
            <w:noProof/>
          </w:rPr>
          <w:drawing>
            <wp:inline distT="0" distB="0" distL="0" distR="0" wp14:anchorId="51505A4B" wp14:editId="12A4DCF2">
              <wp:extent cx="1422400" cy="755650"/>
              <wp:effectExtent l="0" t="0" r="6350" b="6350"/>
              <wp:docPr id="1729559402" name="Picture 24" descr="Logo_Øglænd&amp;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559402" name="Picture 24" descr="Logo_Øglænd&amp;C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2400" cy="755650"/>
                      </a:xfrm>
                      <a:prstGeom prst="rect">
                        <a:avLst/>
                      </a:prstGeom>
                      <a:noFill/>
                      <a:ln>
                        <a:noFill/>
                      </a:ln>
                    </pic:spPr>
                  </pic:pic>
                </a:graphicData>
              </a:graphic>
            </wp:inline>
          </w:drawing>
        </w:r>
      </w:p>
    </w:sdtContent>
  </w:sdt>
  <w:p w14:paraId="02529F2B" w14:textId="77777777" w:rsidR="00FB0E1D" w:rsidRDefault="00FB0E1D">
    <w:pPr>
      <w:pStyle w:val="Topptekst"/>
      <w:tabs>
        <w:tab w:val="clear" w:pos="7777"/>
        <w:tab w:val="clear" w:pos="9072"/>
        <w:tab w:val="left" w:pos="8789"/>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2C2D3" w14:textId="77777777" w:rsidR="00FB0E1D" w:rsidRPr="00A04258" w:rsidRDefault="00000000" w:rsidP="00A04258">
    <w:pPr>
      <w:pStyle w:val="Topptekst"/>
      <w:jc w:val="right"/>
    </w:pPr>
    <w:r>
      <w:rPr>
        <w:noProof/>
      </w:rPr>
      <w:drawing>
        <wp:inline distT="0" distB="0" distL="0" distR="0" wp14:anchorId="59BCE064" wp14:editId="3DF94A2C">
          <wp:extent cx="1422400" cy="755650"/>
          <wp:effectExtent l="0" t="0" r="0" b="6350"/>
          <wp:docPr id="1" name="Picture 24" descr="Logo_Øglænd&amp;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4" descr="Logo_Øglænd&amp;C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2400" cy="755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2633E4"/>
    <w:multiLevelType w:val="hybridMultilevel"/>
    <w:tmpl w:val="C150D6C4"/>
    <w:lvl w:ilvl="0" w:tplc="5A46BAD8">
      <w:start w:val="1"/>
      <w:numFmt w:val="bullet"/>
      <w:lvlText w:val=""/>
      <w:lvlJc w:val="left"/>
      <w:pPr>
        <w:ind w:left="720" w:hanging="360"/>
      </w:pPr>
      <w:rPr>
        <w:rFonts w:ascii="Symbol" w:hAnsi="Symbol" w:hint="default"/>
      </w:rPr>
    </w:lvl>
    <w:lvl w:ilvl="1" w:tplc="772EA6CA" w:tentative="1">
      <w:start w:val="1"/>
      <w:numFmt w:val="bullet"/>
      <w:lvlText w:val="o"/>
      <w:lvlJc w:val="left"/>
      <w:pPr>
        <w:ind w:left="1440" w:hanging="360"/>
      </w:pPr>
      <w:rPr>
        <w:rFonts w:ascii="Courier New" w:hAnsi="Courier New" w:hint="default"/>
      </w:rPr>
    </w:lvl>
    <w:lvl w:ilvl="2" w:tplc="273200E4" w:tentative="1">
      <w:start w:val="1"/>
      <w:numFmt w:val="bullet"/>
      <w:lvlText w:val=""/>
      <w:lvlJc w:val="left"/>
      <w:pPr>
        <w:ind w:left="2160" w:hanging="360"/>
      </w:pPr>
      <w:rPr>
        <w:rFonts w:ascii="Wingdings" w:hAnsi="Wingdings" w:hint="default"/>
      </w:rPr>
    </w:lvl>
    <w:lvl w:ilvl="3" w:tplc="8A8ECF10" w:tentative="1">
      <w:start w:val="1"/>
      <w:numFmt w:val="bullet"/>
      <w:lvlText w:val=""/>
      <w:lvlJc w:val="left"/>
      <w:pPr>
        <w:ind w:left="2880" w:hanging="360"/>
      </w:pPr>
      <w:rPr>
        <w:rFonts w:ascii="Symbol" w:hAnsi="Symbol" w:hint="default"/>
      </w:rPr>
    </w:lvl>
    <w:lvl w:ilvl="4" w:tplc="2A846934" w:tentative="1">
      <w:start w:val="1"/>
      <w:numFmt w:val="bullet"/>
      <w:lvlText w:val="o"/>
      <w:lvlJc w:val="left"/>
      <w:pPr>
        <w:ind w:left="3600" w:hanging="360"/>
      </w:pPr>
      <w:rPr>
        <w:rFonts w:ascii="Courier New" w:hAnsi="Courier New" w:hint="default"/>
      </w:rPr>
    </w:lvl>
    <w:lvl w:ilvl="5" w:tplc="60D67264" w:tentative="1">
      <w:start w:val="1"/>
      <w:numFmt w:val="bullet"/>
      <w:lvlText w:val=""/>
      <w:lvlJc w:val="left"/>
      <w:pPr>
        <w:ind w:left="4320" w:hanging="360"/>
      </w:pPr>
      <w:rPr>
        <w:rFonts w:ascii="Wingdings" w:hAnsi="Wingdings" w:hint="default"/>
      </w:rPr>
    </w:lvl>
    <w:lvl w:ilvl="6" w:tplc="DEB8B5DA" w:tentative="1">
      <w:start w:val="1"/>
      <w:numFmt w:val="bullet"/>
      <w:lvlText w:val=""/>
      <w:lvlJc w:val="left"/>
      <w:pPr>
        <w:ind w:left="5040" w:hanging="360"/>
      </w:pPr>
      <w:rPr>
        <w:rFonts w:ascii="Symbol" w:hAnsi="Symbol" w:hint="default"/>
      </w:rPr>
    </w:lvl>
    <w:lvl w:ilvl="7" w:tplc="E16440C4" w:tentative="1">
      <w:start w:val="1"/>
      <w:numFmt w:val="bullet"/>
      <w:lvlText w:val="o"/>
      <w:lvlJc w:val="left"/>
      <w:pPr>
        <w:ind w:left="5760" w:hanging="360"/>
      </w:pPr>
      <w:rPr>
        <w:rFonts w:ascii="Courier New" w:hAnsi="Courier New" w:hint="default"/>
      </w:rPr>
    </w:lvl>
    <w:lvl w:ilvl="8" w:tplc="2D2414CE" w:tentative="1">
      <w:start w:val="1"/>
      <w:numFmt w:val="bullet"/>
      <w:lvlText w:val=""/>
      <w:lvlJc w:val="left"/>
      <w:pPr>
        <w:ind w:left="6480" w:hanging="360"/>
      </w:pPr>
      <w:rPr>
        <w:rFonts w:ascii="Wingdings" w:hAnsi="Wingdings" w:hint="default"/>
      </w:rPr>
    </w:lvl>
  </w:abstractNum>
  <w:abstractNum w:abstractNumId="1" w15:restartNumberingAfterBreak="0">
    <w:nsid w:val="79423677"/>
    <w:multiLevelType w:val="hybridMultilevel"/>
    <w:tmpl w:val="37BEDA4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7FFE1279"/>
    <w:multiLevelType w:val="hybridMultilevel"/>
    <w:tmpl w:val="2452BD3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218737605">
    <w:abstractNumId w:val="0"/>
  </w:num>
  <w:num w:numId="2" w16cid:durableId="291833776">
    <w:abstractNumId w:val="1"/>
  </w:num>
  <w:num w:numId="3" w16cid:durableId="1872455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49B"/>
    <w:rsid w:val="000179E9"/>
    <w:rsid w:val="00031450"/>
    <w:rsid w:val="00054A7F"/>
    <w:rsid w:val="00066A44"/>
    <w:rsid w:val="00081B4E"/>
    <w:rsid w:val="000867A6"/>
    <w:rsid w:val="000E581D"/>
    <w:rsid w:val="00114F76"/>
    <w:rsid w:val="00155410"/>
    <w:rsid w:val="00155A30"/>
    <w:rsid w:val="00156C4E"/>
    <w:rsid w:val="001C2FC2"/>
    <w:rsid w:val="001D3B99"/>
    <w:rsid w:val="00226F48"/>
    <w:rsid w:val="00255EE1"/>
    <w:rsid w:val="00265B24"/>
    <w:rsid w:val="002D23D6"/>
    <w:rsid w:val="002D52AC"/>
    <w:rsid w:val="002E13FB"/>
    <w:rsid w:val="002E7477"/>
    <w:rsid w:val="002E781A"/>
    <w:rsid w:val="003117CE"/>
    <w:rsid w:val="00314215"/>
    <w:rsid w:val="00356730"/>
    <w:rsid w:val="003579F2"/>
    <w:rsid w:val="00382A62"/>
    <w:rsid w:val="003A5324"/>
    <w:rsid w:val="003E7226"/>
    <w:rsid w:val="004064C5"/>
    <w:rsid w:val="00424BA9"/>
    <w:rsid w:val="004613C9"/>
    <w:rsid w:val="004D686B"/>
    <w:rsid w:val="004F3F75"/>
    <w:rsid w:val="00501283"/>
    <w:rsid w:val="00552C9F"/>
    <w:rsid w:val="00562B96"/>
    <w:rsid w:val="00585214"/>
    <w:rsid w:val="005B3571"/>
    <w:rsid w:val="005D0235"/>
    <w:rsid w:val="00617D5D"/>
    <w:rsid w:val="0063221B"/>
    <w:rsid w:val="00696DCA"/>
    <w:rsid w:val="006A74C0"/>
    <w:rsid w:val="006B44CC"/>
    <w:rsid w:val="006E1EBF"/>
    <w:rsid w:val="0073641B"/>
    <w:rsid w:val="007370B2"/>
    <w:rsid w:val="0077719D"/>
    <w:rsid w:val="00787192"/>
    <w:rsid w:val="007A693C"/>
    <w:rsid w:val="007D2F04"/>
    <w:rsid w:val="007D450A"/>
    <w:rsid w:val="007D7080"/>
    <w:rsid w:val="00820AEA"/>
    <w:rsid w:val="0082595A"/>
    <w:rsid w:val="008448A4"/>
    <w:rsid w:val="00856512"/>
    <w:rsid w:val="00881B09"/>
    <w:rsid w:val="0088382E"/>
    <w:rsid w:val="008A25F6"/>
    <w:rsid w:val="0092162F"/>
    <w:rsid w:val="00981782"/>
    <w:rsid w:val="009C0CB1"/>
    <w:rsid w:val="009D2A1B"/>
    <w:rsid w:val="009E10AA"/>
    <w:rsid w:val="009F30F4"/>
    <w:rsid w:val="009F4692"/>
    <w:rsid w:val="00A04258"/>
    <w:rsid w:val="00A35283"/>
    <w:rsid w:val="00A7049B"/>
    <w:rsid w:val="00AA3A7C"/>
    <w:rsid w:val="00AD061A"/>
    <w:rsid w:val="00AD7679"/>
    <w:rsid w:val="00AE4F9D"/>
    <w:rsid w:val="00B8093D"/>
    <w:rsid w:val="00BA09B6"/>
    <w:rsid w:val="00BB6259"/>
    <w:rsid w:val="00BC3409"/>
    <w:rsid w:val="00BD3C0C"/>
    <w:rsid w:val="00C2129C"/>
    <w:rsid w:val="00C60B99"/>
    <w:rsid w:val="00D00478"/>
    <w:rsid w:val="00D0461B"/>
    <w:rsid w:val="00D5390B"/>
    <w:rsid w:val="00D610BD"/>
    <w:rsid w:val="00D7318A"/>
    <w:rsid w:val="00DB25B5"/>
    <w:rsid w:val="00E34C3A"/>
    <w:rsid w:val="00E535FD"/>
    <w:rsid w:val="00E56096"/>
    <w:rsid w:val="00E748BF"/>
    <w:rsid w:val="00E80B8D"/>
    <w:rsid w:val="00EE3AF2"/>
    <w:rsid w:val="00F07872"/>
    <w:rsid w:val="00F2057F"/>
    <w:rsid w:val="00F35EEE"/>
    <w:rsid w:val="00F377D3"/>
    <w:rsid w:val="00F441E2"/>
    <w:rsid w:val="00F47509"/>
    <w:rsid w:val="00F73062"/>
    <w:rsid w:val="00FB0E1D"/>
    <w:rsid w:val="00FC2946"/>
    <w:rsid w:val="00FD1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34471"/>
  <w14:defaultImageDpi w14:val="300"/>
  <w15:docId w15:val="{60F0AC40-4ABA-4FDD-A631-A4CA9FB6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right="663"/>
    </w:pPr>
    <w:rPr>
      <w:sz w:val="24"/>
      <w:lang w:val="nb-NO" w:eastAsia="nb-NO"/>
    </w:rPr>
  </w:style>
  <w:style w:type="paragraph" w:styleId="Overskrift1">
    <w:name w:val="heading 1"/>
    <w:basedOn w:val="Normal"/>
    <w:next w:val="Normal"/>
    <w:autoRedefine/>
    <w:qFormat/>
    <w:rsid w:val="00F47509"/>
    <w:pPr>
      <w:keepNext/>
      <w:ind w:right="0"/>
      <w:outlineLvl w:val="0"/>
    </w:pPr>
    <w:rPr>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luttnotetekst">
    <w:name w:val="endnote text"/>
    <w:basedOn w:val="Normal"/>
    <w:semiHidden/>
  </w:style>
  <w:style w:type="paragraph" w:styleId="Topptekst">
    <w:name w:val="header"/>
    <w:basedOn w:val="Normal"/>
    <w:link w:val="TopptekstTegn"/>
    <w:uiPriority w:val="99"/>
    <w:pPr>
      <w:tabs>
        <w:tab w:val="left" w:pos="5166"/>
        <w:tab w:val="left" w:pos="7777"/>
        <w:tab w:val="left" w:pos="9072"/>
      </w:tabs>
      <w:ind w:right="0"/>
    </w:pPr>
  </w:style>
  <w:style w:type="paragraph" w:styleId="Bunntekst">
    <w:name w:val="footer"/>
    <w:basedOn w:val="Enkeltlinje"/>
    <w:link w:val="BunntekstTegn"/>
    <w:rsid w:val="003A5324"/>
    <w:pPr>
      <w:tabs>
        <w:tab w:val="clear" w:pos="5185"/>
        <w:tab w:val="left" w:pos="2592"/>
        <w:tab w:val="left" w:pos="5166"/>
        <w:tab w:val="left" w:pos="6912"/>
        <w:tab w:val="left" w:pos="8785"/>
      </w:tabs>
      <w:spacing w:line="360" w:lineRule="auto"/>
      <w:ind w:right="0"/>
    </w:pPr>
    <w:rPr>
      <w:rFonts w:ascii="Arial" w:hAnsi="Arial"/>
      <w:sz w:val="12"/>
    </w:rPr>
  </w:style>
  <w:style w:type="character" w:styleId="Sidetall">
    <w:name w:val="page number"/>
    <w:basedOn w:val="Standardskriftforavsnitt"/>
  </w:style>
  <w:style w:type="paragraph" w:customStyle="1" w:styleId="Enkeltlinje">
    <w:name w:val="Enkeltlinje"/>
    <w:basedOn w:val="Normal"/>
    <w:pPr>
      <w:tabs>
        <w:tab w:val="left" w:pos="5185"/>
      </w:tabs>
    </w:pPr>
  </w:style>
  <w:style w:type="paragraph" w:styleId="Dokumentkart">
    <w:name w:val="Document Map"/>
    <w:basedOn w:val="Normal"/>
    <w:semiHidden/>
    <w:pPr>
      <w:shd w:val="clear" w:color="auto" w:fill="000080"/>
    </w:pPr>
    <w:rPr>
      <w:rFonts w:ascii="Tahoma" w:hAnsi="Tahoma"/>
    </w:rPr>
  </w:style>
  <w:style w:type="paragraph" w:styleId="Brdtekst">
    <w:name w:val="Body Text"/>
    <w:basedOn w:val="Normal"/>
    <w:pPr>
      <w:widowControl w:val="0"/>
      <w:ind w:right="0"/>
    </w:pPr>
  </w:style>
  <w:style w:type="table" w:styleId="Tabellrutenett">
    <w:name w:val="Table Grid"/>
    <w:basedOn w:val="Vanligtabell"/>
    <w:uiPriority w:val="59"/>
    <w:rsid w:val="00A04258"/>
    <w:rPr>
      <w:rFonts w:ascii="Calibri" w:eastAsia="Calibri" w:hAnsi="Calibri"/>
      <w:sz w:val="22"/>
      <w:szCs w:val="22"/>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A04258"/>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A04258"/>
    <w:rPr>
      <w:rFonts w:ascii="Lucida Grande" w:hAnsi="Lucida Grande" w:cs="Lucida Grande"/>
      <w:sz w:val="18"/>
      <w:szCs w:val="18"/>
      <w:lang w:val="nb-NO" w:eastAsia="nb-NO"/>
    </w:rPr>
  </w:style>
  <w:style w:type="character" w:customStyle="1" w:styleId="Firstheading">
    <w:name w:val="First heading"/>
    <w:rsid w:val="005D0235"/>
    <w:rPr>
      <w:rFonts w:ascii="Univers 47 CondensedLight" w:hAnsi="Univers 47 CondensedLight"/>
    </w:rPr>
  </w:style>
  <w:style w:type="paragraph" w:customStyle="1" w:styleId="BasicParagraph">
    <w:name w:val="[Basic Paragraph]"/>
    <w:basedOn w:val="Normal"/>
    <w:uiPriority w:val="99"/>
    <w:rsid w:val="005D0235"/>
    <w:pPr>
      <w:widowControl w:val="0"/>
      <w:autoSpaceDE w:val="0"/>
      <w:autoSpaceDN w:val="0"/>
      <w:adjustRightInd w:val="0"/>
      <w:spacing w:line="288" w:lineRule="auto"/>
      <w:ind w:right="0"/>
      <w:textAlignment w:val="center"/>
    </w:pPr>
    <w:rPr>
      <w:rFonts w:ascii="MinionPro-Regular" w:eastAsia="Calibri" w:hAnsi="MinionPro-Regular" w:cs="MinionPro-Regular"/>
      <w:color w:val="000000"/>
      <w:szCs w:val="24"/>
      <w:lang w:val="en-GB" w:eastAsia="en-US"/>
    </w:rPr>
  </w:style>
  <w:style w:type="character" w:styleId="Hyperkobling">
    <w:name w:val="Hyperlink"/>
    <w:basedOn w:val="Standardskriftforavsnitt"/>
    <w:uiPriority w:val="99"/>
    <w:unhideWhenUsed/>
    <w:rsid w:val="00D00478"/>
    <w:rPr>
      <w:color w:val="0000FF" w:themeColor="hyperlink"/>
      <w:u w:val="single"/>
    </w:rPr>
  </w:style>
  <w:style w:type="character" w:styleId="Fulgthyperkobling">
    <w:name w:val="FollowedHyperlink"/>
    <w:basedOn w:val="Standardskriftforavsnitt"/>
    <w:uiPriority w:val="99"/>
    <w:semiHidden/>
    <w:unhideWhenUsed/>
    <w:rsid w:val="00552C9F"/>
    <w:rPr>
      <w:color w:val="800080" w:themeColor="followedHyperlink"/>
      <w:u w:val="single"/>
    </w:rPr>
  </w:style>
  <w:style w:type="character" w:styleId="Ulstomtale">
    <w:name w:val="Unresolved Mention"/>
    <w:basedOn w:val="Standardskriftforavsnitt"/>
    <w:uiPriority w:val="99"/>
    <w:semiHidden/>
    <w:unhideWhenUsed/>
    <w:rsid w:val="00226F48"/>
    <w:rPr>
      <w:color w:val="808080"/>
      <w:shd w:val="clear" w:color="auto" w:fill="E6E6E6"/>
    </w:rPr>
  </w:style>
  <w:style w:type="character" w:customStyle="1" w:styleId="TopptekstTegn">
    <w:name w:val="Topptekst Tegn"/>
    <w:basedOn w:val="Standardskriftforavsnitt"/>
    <w:link w:val="Topptekst"/>
    <w:uiPriority w:val="99"/>
    <w:rsid w:val="006A74C0"/>
    <w:rPr>
      <w:sz w:val="24"/>
      <w:lang w:val="nb-NO" w:eastAsia="nb-NO"/>
    </w:rPr>
  </w:style>
  <w:style w:type="character" w:customStyle="1" w:styleId="BunntekstTegn">
    <w:name w:val="Bunntekst Tegn"/>
    <w:basedOn w:val="Standardskriftforavsnitt"/>
    <w:link w:val="Bunntekst"/>
    <w:rsid w:val="00E748BF"/>
    <w:rPr>
      <w:rFonts w:ascii="Arial" w:hAnsi="Arial"/>
      <w:sz w:val="12"/>
      <w:lang w:val="nb-NO" w:eastAsia="nb-NO"/>
    </w:rPr>
  </w:style>
  <w:style w:type="paragraph" w:styleId="Listeavsnitt">
    <w:name w:val="List Paragraph"/>
    <w:basedOn w:val="Normal"/>
    <w:uiPriority w:val="34"/>
    <w:qFormat/>
    <w:rsid w:val="00357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ho@advia.no" TargetMode="External"/><Relationship Id="rId7" Type="http://schemas.openxmlformats.org/officeDocument/2006/relationships/hyperlink" Target="mailto:abm@advokatfirmaoglend.no" TargetMode="External"/><Relationship Id="rId2" Type="http://schemas.openxmlformats.org/officeDocument/2006/relationships/hyperlink" Target="mailto:hh@advia.no" TargetMode="External"/><Relationship Id="rId1" Type="http://schemas.openxmlformats.org/officeDocument/2006/relationships/hyperlink" Target="http://www.advokatfirmaoglend.no" TargetMode="External"/><Relationship Id="rId6" Type="http://schemas.openxmlformats.org/officeDocument/2006/relationships/hyperlink" Target="mailto:kk@advokatfirmaoglend.no" TargetMode="External"/><Relationship Id="rId5" Type="http://schemas.openxmlformats.org/officeDocument/2006/relationships/hyperlink" Target="mailto:gmh@advokatfirmaoglend.no" TargetMode="External"/><Relationship Id="rId4" Type="http://schemas.openxmlformats.org/officeDocument/2006/relationships/hyperlink" Target="mailto:he@advokatfirmaoglend.no%20"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ho@advia.no" TargetMode="External"/><Relationship Id="rId7" Type="http://schemas.openxmlformats.org/officeDocument/2006/relationships/hyperlink" Target="mailto:abm@advokatfirmaoglend.no" TargetMode="External"/><Relationship Id="rId2" Type="http://schemas.openxmlformats.org/officeDocument/2006/relationships/hyperlink" Target="mailto:hh@advia.no" TargetMode="External"/><Relationship Id="rId1" Type="http://schemas.openxmlformats.org/officeDocument/2006/relationships/hyperlink" Target="http://www.advokatfirmaoglend.no" TargetMode="External"/><Relationship Id="rId6" Type="http://schemas.openxmlformats.org/officeDocument/2006/relationships/hyperlink" Target="mailto:kk@advokatfirmaoglend.no" TargetMode="External"/><Relationship Id="rId5" Type="http://schemas.openxmlformats.org/officeDocument/2006/relationships/hyperlink" Target="mailto:gmh@advokatfirmaoglend.no" TargetMode="External"/><Relationship Id="rId4" Type="http://schemas.openxmlformats.org/officeDocument/2006/relationships/hyperlink" Target="mailto:he@advokatfirmaoglend.no%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60FF3-CEE2-477C-98B3-D07FA6B36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1505</Words>
  <Characters>7977</Characters>
  <Application>Microsoft Office Word</Application>
  <DocSecurity>0</DocSecurity>
  <Lines>66</Lines>
  <Paragraphs>18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Brevmal i h.h.t. NS 4129</vt:lpstr>
      <vt:lpstr>Brevmal i h.h.t. NS 4129</vt:lpstr>
    </vt:vector>
  </TitlesOfParts>
  <Company>Frei kommune</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GMH</dc:creator>
  <cp:keywords/>
  <dc:description/>
  <cp:lastModifiedBy>Gullik Maudal Huseby</cp:lastModifiedBy>
  <cp:revision>2</cp:revision>
  <cp:lastPrinted>2017-04-07T09:43:00Z</cp:lastPrinted>
  <dcterms:created xsi:type="dcterms:W3CDTF">2024-11-01T15:04:00Z</dcterms:created>
  <dcterms:modified xsi:type="dcterms:W3CDTF">2024-11-01T15:04:00Z</dcterms:modified>
</cp:coreProperties>
</file>